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9"/>
        <w:spacing w:line="480" w:lineRule="exact"/>
        <w:jc w:val="center"/>
        <w:rPr>
          <w:rFonts w:hint="eastAsia" w:ascii="微软雅黑" w:hAnsi="微软雅黑" w:eastAsia="微软雅黑" w:cs="微软雅黑"/>
          <w:b/>
          <w:bCs/>
          <w:color w:val="232F62"/>
          <w:sz w:val="32"/>
          <w:szCs w:val="32"/>
          <w:lang w:eastAsia="zh-Hans"/>
        </w:rPr>
      </w:pPr>
      <w:r>
        <w:rPr>
          <w:rFonts w:hint="eastAsia" w:ascii="微软雅黑" w:hAnsi="微软雅黑" w:eastAsia="微软雅黑" w:cs="微软雅黑"/>
          <w:b/>
          <w:bCs/>
          <w:color w:val="232F62"/>
          <w:sz w:val="32"/>
          <w:szCs w:val="32"/>
        </w:rPr>
        <w:t>匈牙利塞梅维什大学</w:t>
      </w:r>
    </w:p>
    <w:p>
      <w:pPr>
        <w:pStyle w:val="39"/>
        <w:spacing w:line="480" w:lineRule="exact"/>
        <w:jc w:val="center"/>
        <w:rPr>
          <w:rFonts w:hint="eastAsia" w:ascii="微软雅黑" w:hAnsi="微软雅黑" w:eastAsia="微软雅黑" w:cs="微软雅黑"/>
          <w:b/>
          <w:bCs/>
          <w:color w:val="232F62"/>
          <w:sz w:val="32"/>
          <w:szCs w:val="32"/>
          <w:lang w:eastAsia="zh-Hans"/>
        </w:rPr>
      </w:pPr>
      <w:bookmarkStart w:id="0" w:name="OLE_LINK1"/>
      <w:r>
        <w:rPr>
          <w:rFonts w:hint="eastAsia" w:ascii="微软雅黑" w:hAnsi="微软雅黑" w:eastAsia="微软雅黑" w:cs="微软雅黑"/>
          <w:b/>
          <w:bCs/>
          <w:color w:val="232F62"/>
          <w:sz w:val="32"/>
          <w:szCs w:val="32"/>
        </w:rPr>
        <w:t>医学科研素养提升与多科室医学见习项目</w:t>
      </w:r>
    </w:p>
    <w:bookmarkEnd w:id="0"/>
    <w:p>
      <w:pPr>
        <w:pStyle w:val="4"/>
        <w:rPr>
          <w:rFonts w:hint="eastAsia" w:ascii="微软雅黑" w:hAnsi="微软雅黑" w:eastAsia="微软雅黑" w:cs="微软雅黑"/>
        </w:rPr>
      </w:pPr>
      <w:r>
        <w:rPr>
          <w:rFonts w:hint="eastAsia" w:ascii="微软雅黑" w:hAnsi="微软雅黑" w:eastAsia="微软雅黑" w:cs="微软雅黑"/>
        </w:rPr>
        <w:t>项目背景</w:t>
      </w:r>
    </w:p>
    <w:p>
      <w:pPr>
        <w:spacing w:line="276" w:lineRule="auto"/>
        <w:ind w:firstLine="420" w:firstLineChars="200"/>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为深入贯彻教育部等八部门《关于加快和扩大新时代教育对外开放的意见》中关于“推动教育国际交流与合作提质增效”及“培养具有全球视野的高层次国际化人才”的指导方针，并积极响应“健康中国2030”规划纲要中关于“推动医学科技创新”“提升医学科研能力和医学人才培养质量”的战略要求，本项目在新时代医学教育国际化与医学科研能力提升的背景下应运而生。</w:t>
      </w:r>
    </w:p>
    <w:p>
      <w:pPr>
        <w:spacing w:line="276" w:lineRule="auto"/>
        <w:ind w:firstLine="420" w:firstLineChars="200"/>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医学科研能力是医学高质量发展的重要支撑，也是培养高水平医学人才的关键环节。随着医学研究范式不断向循证医学、转化医学和多学科协同研究发展，医学人才不仅需要扎实的临床基础，更需系统掌握医学科研方法、研究规范与伦理要求，具备在国际医学研究环境中理解和参与科研工作的能力。</w:t>
      </w:r>
    </w:p>
    <w:p>
      <w:pPr>
        <w:spacing w:line="276" w:lineRule="auto"/>
        <w:ind w:firstLine="420" w:firstLineChars="200"/>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匈牙利是首个加入“一带一路”倡议的欧盟国家，近年来，在中匈两国领导人的战略推动下，双边在基础设施、数字经济、科技创新、医疗卫生等领域的合作不断深化。2024年中匈联合声明中明确将“深化健康领域合作”作为重点方向之一。</w:t>
      </w:r>
    </w:p>
    <w:p>
      <w:pPr>
        <w:spacing w:line="276" w:lineRule="auto"/>
        <w:ind w:firstLine="420" w:firstLineChars="200"/>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在此背景下，本项目依托匈牙利塞梅维什大学在医学教育、医学研究和临床实践方面的综合优势，通过系统化医学科研课程与欧洲临床见习相结合的培养模式，帮助医学相关专业学生提升科研素养、拓展国际医学视野，为未来医学学习与职业发展奠定坚实基础。</w:t>
      </w:r>
    </w:p>
    <w:p>
      <w:pPr>
        <w:pStyle w:val="4"/>
        <w:rPr>
          <w:rFonts w:hint="eastAsia" w:ascii="微软雅黑" w:hAnsi="微软雅黑" w:eastAsia="微软雅黑" w:cs="微软雅黑"/>
          <w:sz w:val="21"/>
          <w:szCs w:val="21"/>
        </w:rPr>
      </w:pPr>
      <w:r>
        <w:rPr>
          <w:rFonts w:hint="eastAsia" w:ascii="微软雅黑" w:hAnsi="微软雅黑" w:eastAsia="微软雅黑" w:cs="微软雅黑"/>
          <w:sz w:val="21"/>
          <w:szCs w:val="21"/>
        </w:rPr>
        <w:t>学校简介</w:t>
      </w:r>
    </w:p>
    <w:p>
      <w:pPr>
        <w:spacing w:line="276" w:lineRule="auto"/>
        <w:ind w:firstLine="420" w:firstLineChars="200"/>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drawing>
          <wp:anchor distT="0" distB="0" distL="114300" distR="114300" simplePos="0" relativeHeight="251659264" behindDoc="0" locked="0" layoutInCell="1" allowOverlap="1">
            <wp:simplePos x="0" y="0"/>
            <wp:positionH relativeFrom="margin">
              <wp:posOffset>734060</wp:posOffset>
            </wp:positionH>
            <wp:positionV relativeFrom="paragraph">
              <wp:posOffset>1652905</wp:posOffset>
            </wp:positionV>
            <wp:extent cx="4288155" cy="2032000"/>
            <wp:effectExtent l="0" t="0" r="17145" b="6350"/>
            <wp:wrapTopAndBottom/>
            <wp:docPr id="1" name="Picture 1" descr="dax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axue"/>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288155" cy="2032000"/>
                    </a:xfrm>
                    <a:prstGeom prst="rect">
                      <a:avLst/>
                    </a:prstGeom>
                  </pic:spPr>
                </pic:pic>
              </a:graphicData>
            </a:graphic>
          </wp:anchor>
        </w:drawing>
      </w:r>
      <w:r>
        <w:rPr>
          <w:rFonts w:hint="eastAsia" w:ascii="微软雅黑" w:hAnsi="微软雅黑" w:eastAsia="微软雅黑" w:cs="微软雅黑"/>
          <w:sz w:val="21"/>
          <w:szCs w:val="21"/>
        </w:rPr>
        <w:t>塞梅维什大学（Semmelweis University）始建于1769年，前身是匈牙利历史悠久的纳吉松巴特大学医学院，迄今已有250余年办学历史。学校设有6个学院及1个博士生院，学科布局覆盖医学与健康科学各相关领域，配套建设多个临床中心与附属医疗机构。附属临床部门兼顾复杂疾病诊疗与临床教学职能，也是匈牙利重要的健康科学教育与医疗服务载体。</w:t>
      </w:r>
    </w:p>
    <w:p>
      <w:pPr>
        <w:spacing w:line="276" w:lineRule="auto"/>
        <w:ind w:firstLine="420" w:firstLineChars="200"/>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历经数百年积淀，塞梅维什大学发展成为匈牙利及中欧地区颇具影响力的医学高等学府、医疗服务机构与重要科研中心。学校在教育、科研、医疗领域兼顾创新发展与成熟实践，展现出匈牙利在国际医学界的相应地位与学术成就。在国际评估中，该校位列2025年THE世界大学排名251</w:t>
      </w:r>
      <w:r>
        <w:rPr>
          <w:rFonts w:hint="eastAsia" w:ascii="微软雅黑" w:hAnsi="微软雅黑" w:eastAsia="微软雅黑" w:cs="微软雅黑"/>
          <w:sz w:val="21"/>
          <w:szCs w:val="21"/>
        </w:rPr>
        <w:noBreakHyphen/>
      </w:r>
      <w:r>
        <w:rPr>
          <w:rFonts w:hint="eastAsia" w:ascii="微软雅黑" w:hAnsi="微软雅黑" w:eastAsia="微软雅黑" w:cs="微软雅黑"/>
          <w:sz w:val="21"/>
          <w:szCs w:val="21"/>
        </w:rPr>
        <w:t>300区间，</w:t>
      </w:r>
      <w:r>
        <w:rPr>
          <w:rFonts w:hint="eastAsia" w:ascii="微软雅黑" w:hAnsi="微软雅黑" w:eastAsia="微软雅黑" w:cs="微软雅黑"/>
          <w:sz w:val="21"/>
          <w:szCs w:val="21"/>
          <w:lang w:val="en-US" w:eastAsia="zh-CN"/>
        </w:rPr>
        <w:t>在</w:t>
      </w:r>
      <w:r>
        <w:rPr>
          <w:rFonts w:hint="eastAsia" w:ascii="微软雅黑" w:hAnsi="微软雅黑" w:eastAsia="微软雅黑" w:cs="微软雅黑"/>
          <w:sz w:val="21"/>
          <w:szCs w:val="21"/>
        </w:rPr>
        <w:t>医学</w:t>
      </w:r>
      <w:r>
        <w:rPr>
          <w:rFonts w:hint="eastAsia" w:ascii="微软雅黑" w:hAnsi="微软雅黑" w:eastAsia="微软雅黑" w:cs="微软雅黑"/>
          <w:sz w:val="21"/>
          <w:szCs w:val="21"/>
          <w:lang w:val="en-US" w:eastAsia="zh-CN"/>
        </w:rPr>
        <w:t>与健康领域排名前列</w:t>
      </w:r>
      <w:r>
        <w:rPr>
          <w:rFonts w:hint="eastAsia" w:ascii="微软雅黑" w:hAnsi="微软雅黑" w:eastAsia="微软雅黑" w:cs="微软雅黑"/>
          <w:sz w:val="21"/>
          <w:szCs w:val="21"/>
        </w:rPr>
        <w:t>。</w:t>
      </w:r>
    </w:p>
    <w:p>
      <w:pPr>
        <w:pStyle w:val="4"/>
        <w:rPr>
          <w:rFonts w:hint="eastAsia" w:ascii="微软雅黑" w:hAnsi="微软雅黑" w:eastAsia="微软雅黑" w:cs="微软雅黑"/>
        </w:rPr>
      </w:pPr>
      <w:r>
        <w:rPr>
          <w:rFonts w:hint="eastAsia" w:ascii="微软雅黑" w:hAnsi="微软雅黑" w:eastAsia="微软雅黑" w:cs="微软雅黑"/>
        </w:rPr>
        <w:t>项目亮点</w:t>
      </w:r>
    </w:p>
    <w:p>
      <w:pPr>
        <w:numPr>
          <w:ilvl w:val="0"/>
          <w:numId w:val="2"/>
        </w:numPr>
        <w:spacing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权威学术机构认证：</w:t>
      </w:r>
      <w:r>
        <w:rPr>
          <w:rFonts w:hint="eastAsia" w:ascii="微软雅黑" w:hAnsi="微软雅黑" w:eastAsia="微软雅黑" w:cs="微软雅黑"/>
          <w:sz w:val="21"/>
          <w:szCs w:val="21"/>
        </w:rPr>
        <w:t> 深入欧洲顶尖医科大学——塞梅维什大学，获得该校官方结业证书，为学业履历增添高含金量国际化背景。</w:t>
      </w:r>
    </w:p>
    <w:p>
      <w:pPr>
        <w:numPr>
          <w:ilvl w:val="0"/>
          <w:numId w:val="2"/>
        </w:numPr>
        <w:spacing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聚焦医学科研素养：</w:t>
      </w:r>
      <w:r>
        <w:rPr>
          <w:rFonts w:hint="eastAsia" w:ascii="微软雅黑" w:hAnsi="微软雅黑" w:eastAsia="微软雅黑" w:cs="微软雅黑"/>
          <w:sz w:val="21"/>
          <w:szCs w:val="21"/>
        </w:rPr>
        <w:t> 课程围绕医学科研方法、数据分析和临床研究规范展开，帮助学员建立规范、完整的医学科研认知体系</w:t>
      </w:r>
    </w:p>
    <w:p>
      <w:pPr>
        <w:numPr>
          <w:ilvl w:val="0"/>
          <w:numId w:val="2"/>
        </w:numPr>
        <w:spacing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欧洲顶级医院临床见习：</w:t>
      </w:r>
      <w:r>
        <w:rPr>
          <w:rFonts w:hint="eastAsia" w:ascii="微软雅黑" w:hAnsi="微软雅黑" w:eastAsia="微软雅黑" w:cs="微软雅黑"/>
          <w:sz w:val="21"/>
          <w:szCs w:val="21"/>
        </w:rPr>
        <w:t> 进入大学附属临床中心，在外科、心脏血管等重点科室进行结构化见习，观摩欧洲标准化诊疗流程与先进医疗技术。</w:t>
      </w:r>
    </w:p>
    <w:p>
      <w:pPr>
        <w:numPr>
          <w:ilvl w:val="0"/>
          <w:numId w:val="2"/>
        </w:numPr>
        <w:spacing w:line="276" w:lineRule="auto"/>
        <w:jc w:val="both"/>
        <w:rPr>
          <w:rFonts w:hint="eastAsia" w:ascii="微软雅黑" w:hAnsi="微软雅黑" w:eastAsia="微软雅黑" w:cs="微软雅黑"/>
          <w:b/>
          <w:bCs/>
          <w:sz w:val="21"/>
          <w:szCs w:val="21"/>
        </w:rPr>
      </w:pPr>
      <w:r>
        <w:rPr>
          <w:rStyle w:val="20"/>
          <w:rFonts w:hint="eastAsia" w:ascii="微软雅黑" w:hAnsi="微软雅黑" w:eastAsia="微软雅黑" w:cs="微软雅黑"/>
          <w:color w:val="0F1115"/>
          <w:sz w:val="21"/>
          <w:szCs w:val="21"/>
        </w:rPr>
        <w:t>深度跨文化交流与协作：</w:t>
      </w:r>
      <w:r>
        <w:rPr>
          <w:rFonts w:hint="eastAsia" w:ascii="微软雅黑" w:hAnsi="微软雅黑" w:eastAsia="微软雅黑" w:cs="微软雅黑"/>
          <w:color w:val="0F1115"/>
          <w:sz w:val="21"/>
          <w:szCs w:val="21"/>
        </w:rPr>
        <w:t> 在全英文沉浸式环境中，与匈牙利顶尖医学专家及国际同行团队深入交流，学习在多元文化背景下进行有效沟通与专业协作，全面提升全球胜任力。</w:t>
      </w:r>
    </w:p>
    <w:p>
      <w:pPr>
        <w:pStyle w:val="4"/>
        <w:rPr>
          <w:rFonts w:hint="eastAsia" w:ascii="微软雅黑" w:hAnsi="微软雅黑" w:eastAsia="微软雅黑" w:cs="微软雅黑"/>
        </w:rPr>
      </w:pPr>
      <w:r>
        <w:rPr>
          <w:rFonts w:hint="eastAsia" w:ascii="微软雅黑" w:hAnsi="微软雅黑" w:eastAsia="微软雅黑" w:cs="微软雅黑"/>
        </w:rPr>
        <w:t>项目内容</w:t>
      </w:r>
    </w:p>
    <w:p>
      <w:pPr>
        <w:pStyle w:val="34"/>
        <w:numPr>
          <w:ilvl w:val="0"/>
          <w:numId w:val="3"/>
        </w:numPr>
        <w:spacing w:after="0" w:line="276" w:lineRule="auto"/>
        <w:jc w:val="both"/>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项目概述</w:t>
      </w:r>
    </w:p>
    <w:p>
      <w:pPr>
        <w:spacing w:line="276" w:lineRule="auto"/>
        <w:ind w:firstLine="420" w:firstLineChars="200"/>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本项目以</w:t>
      </w:r>
      <w:r>
        <w:rPr>
          <w:rFonts w:hint="eastAsia" w:ascii="微软雅黑" w:hAnsi="微软雅黑" w:eastAsia="微软雅黑" w:cs="微软雅黑"/>
          <w:b/>
          <w:bCs/>
          <w:sz w:val="21"/>
          <w:szCs w:val="21"/>
        </w:rPr>
        <w:t>医学科研素养提升与国际临床实践认知</w:t>
      </w:r>
      <w:r>
        <w:rPr>
          <w:rFonts w:hint="eastAsia" w:ascii="微软雅黑" w:hAnsi="微软雅黑" w:eastAsia="微软雅黑" w:cs="微软雅黑"/>
          <w:sz w:val="21"/>
          <w:szCs w:val="21"/>
        </w:rPr>
        <w:t>为核心，通过系统化医学科研课程与多科室医学见习相结合的培养模式，帮助学员建立规范、严谨的医学研究思维框架，理解医学科研在临床实践和医疗体系中的基础性作用。</w:t>
      </w:r>
    </w:p>
    <w:p>
      <w:pPr>
        <w:spacing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 xml:space="preserve">    </w:t>
      </w:r>
      <w:r>
        <w:rPr>
          <w:rFonts w:hint="eastAsia" w:ascii="微软雅黑" w:hAnsi="微软雅黑" w:eastAsia="微软雅黑" w:cs="微软雅黑"/>
          <w:sz w:val="21"/>
          <w:szCs w:val="21"/>
        </w:rPr>
        <w:t>项目第一周聚焦医学科研方法与科研规范训练，围绕实验设计、数据分析、临床研究方法与伦理规范以及医学科研案例分析等内容，系统提升学员对医学科研流程的整体认知；第二周通过多科室医学见习，使学员在真实欧洲医疗环境中理解科研成果如何服务临床诊疗，促进科研认知与临床理解的有效衔接。</w:t>
      </w:r>
    </w:p>
    <w:p>
      <w:pPr>
        <w:pStyle w:val="34"/>
        <w:numPr>
          <w:ilvl w:val="0"/>
          <w:numId w:val="4"/>
        </w:numPr>
        <w:spacing w:after="0" w:line="276" w:lineRule="auto"/>
        <w:ind w:left="442" w:hanging="442"/>
        <w:jc w:val="both"/>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响应国家“健康中国”与医学科研能力提升需求</w:t>
      </w:r>
    </w:p>
    <w:p>
      <w:pPr>
        <w:spacing w:line="276" w:lineRule="auto"/>
        <w:ind w:firstLine="420" w:firstLineChars="200"/>
        <w:jc w:val="both"/>
        <w:rPr>
          <w:rFonts w:hint="eastAsia" w:ascii="微软雅黑" w:hAnsi="微软雅黑" w:eastAsia="微软雅黑" w:cs="微软雅黑"/>
          <w:color w:val="0F1115"/>
          <w:sz w:val="21"/>
          <w:szCs w:val="21"/>
          <w:shd w:val="clear" w:color="auto" w:fill="FFFFFF"/>
        </w:rPr>
      </w:pPr>
      <w:r>
        <w:rPr>
          <w:rFonts w:hint="eastAsia" w:ascii="微软雅黑" w:hAnsi="微软雅黑" w:eastAsia="微软雅黑" w:cs="微软雅黑"/>
          <w:color w:val="0F1115"/>
          <w:sz w:val="21"/>
          <w:szCs w:val="21"/>
          <w:shd w:val="clear" w:color="auto" w:fill="FFFFFF"/>
        </w:rPr>
        <w:t>课程内容紧密对接《“健康中国2030”规划纲要》中关于“提升医学科技创新能力”和“加强医学人才科研能力培养”的相关要求，聚焦医学科研这一支撑医学高质量发展的关键环节，系统构建医学科研能力培养体系。</w:t>
      </w:r>
    </w:p>
    <w:p>
      <w:pPr>
        <w:spacing w:line="276" w:lineRule="auto"/>
        <w:ind w:firstLine="420" w:firstLineChars="200"/>
        <w:jc w:val="both"/>
        <w:rPr>
          <w:rFonts w:hint="eastAsia" w:ascii="微软雅黑" w:hAnsi="微软雅黑" w:eastAsia="微软雅黑" w:cs="微软雅黑"/>
          <w:color w:val="0F1115"/>
          <w:sz w:val="21"/>
          <w:szCs w:val="21"/>
          <w:shd w:val="clear" w:color="auto" w:fill="FFFFFF"/>
        </w:rPr>
      </w:pPr>
      <w:r>
        <w:rPr>
          <w:rFonts w:hint="eastAsia" w:ascii="微软雅黑" w:hAnsi="微软雅黑" w:eastAsia="微软雅黑" w:cs="微软雅黑"/>
          <w:color w:val="0F1115"/>
          <w:sz w:val="21"/>
          <w:szCs w:val="21"/>
          <w:shd w:val="clear" w:color="auto" w:fill="FFFFFF"/>
        </w:rPr>
        <w:t>通过本项目的实施，引导学员从医学知识学习向医学研究理解与参与转变，为未来医学学习、科研训练及临床发展奠定科研基础。</w:t>
      </w:r>
    </w:p>
    <w:p>
      <w:pPr>
        <w:spacing w:line="276" w:lineRule="auto"/>
        <w:ind w:firstLine="420" w:firstLineChars="200"/>
        <w:jc w:val="both"/>
        <w:rPr>
          <w:rFonts w:hint="eastAsia" w:ascii="微软雅黑" w:hAnsi="微软雅黑" w:eastAsia="微软雅黑" w:cs="微软雅黑"/>
          <w:sz w:val="21"/>
          <w:szCs w:val="21"/>
        </w:rPr>
      </w:pPr>
    </w:p>
    <w:p>
      <w:pPr>
        <w:pStyle w:val="34"/>
        <w:numPr>
          <w:ilvl w:val="0"/>
          <w:numId w:val="4"/>
        </w:numPr>
        <w:spacing w:line="276" w:lineRule="auto"/>
        <w:jc w:val="both"/>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构建“医学基础 +科研规范 + 临床实践”三维能力体系</w:t>
      </w:r>
    </w:p>
    <w:p>
      <w:pPr>
        <w:pStyle w:val="34"/>
        <w:numPr>
          <w:ilvl w:val="0"/>
          <w:numId w:val="5"/>
        </w:numPr>
        <w:spacing w:line="276" w:lineRule="auto"/>
        <w:ind w:left="442" w:hanging="442"/>
        <w:jc w:val="both"/>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夯实医学科研方法基础</w:t>
      </w:r>
      <w:r>
        <w:rPr>
          <w:rFonts w:hint="eastAsia" w:ascii="微软雅黑" w:hAnsi="微软雅黑" w:eastAsia="微软雅黑" w:cs="微软雅黑"/>
          <w:sz w:val="21"/>
          <w:szCs w:val="21"/>
        </w:rPr>
        <w:t>：通过</w:t>
      </w:r>
      <w:r>
        <w:rPr>
          <w:rFonts w:hint="eastAsia" w:ascii="微软雅黑" w:hAnsi="微软雅黑" w:eastAsia="微软雅黑" w:cs="微软雅黑"/>
          <w:color w:val="0F1115"/>
          <w:sz w:val="21"/>
          <w:szCs w:val="21"/>
          <w:shd w:val="clear" w:color="auto" w:fill="FFFFFF"/>
        </w:rPr>
        <w:t>系统讲授实验设计与数据采集方法，帮助学员理解科学研究问题的提出逻辑，掌握医学研究从研究假设形成到研究方案实施的基本流程。</w:t>
      </w:r>
    </w:p>
    <w:p>
      <w:pPr>
        <w:pStyle w:val="34"/>
        <w:numPr>
          <w:ilvl w:val="0"/>
          <w:numId w:val="5"/>
        </w:numPr>
        <w:autoSpaceDE w:val="0"/>
        <w:autoSpaceDN w:val="0"/>
        <w:spacing w:before="312" w:beforeLines="100" w:line="276" w:lineRule="auto"/>
        <w:ind w:left="442" w:hanging="442"/>
        <w:jc w:val="both"/>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强化医学数据分析与研究规范意识</w:t>
      </w:r>
      <w:r>
        <w:rPr>
          <w:rFonts w:hint="eastAsia" w:ascii="微软雅黑" w:hAnsi="微软雅黑" w:eastAsia="微软雅黑" w:cs="微软雅黑"/>
          <w:sz w:val="21"/>
          <w:szCs w:val="21"/>
        </w:rPr>
        <w:t>：围绕医学研究中的数据分析与统计方法，结合临床研究方法与伦理规范要求，引导学员树立严谨、规范的科研意识，提升科研合规能力。</w:t>
      </w:r>
    </w:p>
    <w:p>
      <w:pPr>
        <w:pStyle w:val="34"/>
        <w:numPr>
          <w:ilvl w:val="0"/>
          <w:numId w:val="5"/>
        </w:numPr>
        <w:autoSpaceDE w:val="0"/>
        <w:autoSpaceDN w:val="0"/>
        <w:spacing w:before="312" w:beforeLines="100" w:line="276" w:lineRule="auto"/>
        <w:ind w:left="442" w:hanging="442"/>
        <w:jc w:val="both"/>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促进科研认知与临床实践理解的衔接</w:t>
      </w:r>
      <w:r>
        <w:rPr>
          <w:rFonts w:hint="eastAsia" w:ascii="微软雅黑" w:hAnsi="微软雅黑" w:eastAsia="微软雅黑" w:cs="微软雅黑"/>
          <w:sz w:val="21"/>
          <w:szCs w:val="21"/>
        </w:rPr>
        <w:t>：通过科研案例分析与后续临床见习的有机结合，引导学员理解医学科研在临床诊疗决策和医疗体系运行中的支撑作用，培养兼具科研理解能力与临床认知基础的医学人才。</w:t>
      </w:r>
    </w:p>
    <w:p>
      <w:pPr>
        <w:pStyle w:val="34"/>
        <w:numPr>
          <w:ilvl w:val="0"/>
          <w:numId w:val="4"/>
        </w:numPr>
        <w:spacing w:after="0" w:line="276" w:lineRule="auto"/>
        <w:ind w:left="442" w:hanging="442"/>
        <w:jc w:val="both"/>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拓展跨文化交流与国际合作能力</w:t>
      </w:r>
    </w:p>
    <w:p>
      <w:pPr>
        <w:spacing w:line="276" w:lineRule="auto"/>
        <w:ind w:firstLine="420" w:firstLineChars="200"/>
        <w:jc w:val="both"/>
        <w:rPr>
          <w:rFonts w:hint="eastAsia" w:ascii="微软雅黑" w:hAnsi="微软雅黑" w:eastAsia="微软雅黑" w:cs="微软雅黑"/>
          <w:sz w:val="21"/>
          <w:szCs w:val="21"/>
        </w:rPr>
      </w:pPr>
      <w:r>
        <w:rPr>
          <w:rFonts w:hint="eastAsia" w:ascii="微软雅黑" w:hAnsi="微软雅黑" w:eastAsia="微软雅黑" w:cs="微软雅黑"/>
          <w:color w:val="0F1115"/>
          <w:sz w:val="21"/>
          <w:szCs w:val="21"/>
          <w:shd w:val="clear" w:color="auto" w:fill="FFFFFF"/>
        </w:rPr>
        <w:t>项目依托匈牙利塞梅维什大学的国际化教育环境，通过全英文授课，系统培养学生的跨文化沟通能力与国际合作素养。学生将在多元文化背景下，与医学专家和同行开展专业对话与协作，建立国际化人脉网络，为未来参与全球医疗健康领域的创新合作奠定坚实基础。</w:t>
      </w:r>
    </w:p>
    <w:p>
      <w:pPr>
        <w:pStyle w:val="34"/>
        <w:numPr>
          <w:ilvl w:val="0"/>
          <w:numId w:val="3"/>
        </w:numPr>
        <w:jc w:val="both"/>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项目课程设置</w:t>
      </w:r>
    </w:p>
    <w:p>
      <w:pPr>
        <w:pStyle w:val="34"/>
        <w:numPr>
          <w:ilvl w:val="0"/>
          <w:numId w:val="6"/>
        </w:numPr>
        <w:jc w:val="both"/>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课程形式</w:t>
      </w:r>
      <w:r>
        <w:rPr>
          <w:rFonts w:hint="eastAsia" w:ascii="微软雅黑" w:hAnsi="微软雅黑" w:eastAsia="微软雅黑" w:cs="微软雅黑"/>
          <w:sz w:val="21"/>
          <w:szCs w:val="21"/>
        </w:rPr>
        <w:t>：项目时长两周，一周医学学术课程，一周医学见习，总课时为40小时。</w:t>
      </w:r>
    </w:p>
    <w:p>
      <w:pPr>
        <w:pStyle w:val="34"/>
        <w:numPr>
          <w:ilvl w:val="0"/>
          <w:numId w:val="6"/>
        </w:numPr>
        <w:jc w:val="both"/>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项目时间</w:t>
      </w:r>
      <w:r>
        <w:rPr>
          <w:rFonts w:hint="eastAsia" w:ascii="微软雅黑" w:hAnsi="微软雅黑" w:eastAsia="微软雅黑" w:cs="微软雅黑"/>
          <w:sz w:val="21"/>
          <w:szCs w:val="21"/>
        </w:rPr>
        <w:t>：</w:t>
      </w:r>
      <w:r>
        <w:rPr>
          <w:rFonts w:hint="eastAsia" w:ascii="微软雅黑" w:hAnsi="微软雅黑" w:eastAsia="微软雅黑" w:cs="微软雅黑"/>
          <w:b/>
          <w:bCs/>
          <w:sz w:val="21"/>
          <w:szCs w:val="21"/>
        </w:rPr>
        <w:t>202</w:t>
      </w:r>
      <w:r>
        <w:rPr>
          <w:rFonts w:hint="eastAsia" w:ascii="微软雅黑" w:hAnsi="微软雅黑" w:eastAsia="微软雅黑" w:cs="微软雅黑"/>
          <w:b/>
          <w:bCs/>
          <w:sz w:val="21"/>
          <w:szCs w:val="21"/>
          <w:lang w:val="en-US" w:eastAsia="zh-CN"/>
        </w:rPr>
        <w:t>7</w:t>
      </w:r>
      <w:r>
        <w:rPr>
          <w:rFonts w:hint="eastAsia" w:ascii="微软雅黑" w:hAnsi="微软雅黑" w:eastAsia="微软雅黑" w:cs="微软雅黑"/>
          <w:b/>
          <w:bCs/>
          <w:sz w:val="21"/>
          <w:szCs w:val="21"/>
        </w:rPr>
        <w:t>年</w:t>
      </w:r>
      <w:r>
        <w:rPr>
          <w:rFonts w:hint="eastAsia" w:ascii="微软雅黑" w:hAnsi="微软雅黑" w:eastAsia="微软雅黑" w:cs="微软雅黑"/>
          <w:b/>
          <w:bCs/>
          <w:sz w:val="21"/>
          <w:szCs w:val="21"/>
          <w:lang w:val="en-US" w:eastAsia="zh-CN"/>
        </w:rPr>
        <w:t>1月17日——1月30日</w:t>
      </w:r>
    </w:p>
    <w:p>
      <w:pPr>
        <w:pStyle w:val="34"/>
        <w:numPr>
          <w:ilvl w:val="0"/>
          <w:numId w:val="6"/>
        </w:numPr>
        <w:jc w:val="both"/>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目标学员</w:t>
      </w:r>
      <w:r>
        <w:rPr>
          <w:rFonts w:hint="eastAsia" w:ascii="微软雅黑" w:hAnsi="微软雅黑" w:eastAsia="微软雅黑" w:cs="微软雅黑"/>
          <w:sz w:val="21"/>
          <w:szCs w:val="21"/>
        </w:rPr>
        <w:t>：医学相关专业本科生、研究生及优秀青年医师。</w:t>
      </w:r>
    </w:p>
    <w:p>
      <w:pPr>
        <w:pStyle w:val="34"/>
        <w:numPr>
          <w:ilvl w:val="0"/>
          <w:numId w:val="6"/>
        </w:numPr>
        <w:jc w:val="both"/>
        <w:rPr>
          <w:rFonts w:hint="eastAsia" w:ascii="微软雅黑" w:hAnsi="微软雅黑" w:eastAsia="微软雅黑" w:cs="微软雅黑"/>
          <w:b/>
          <w:bCs/>
          <w:color w:val="232F62"/>
          <w:sz w:val="21"/>
          <w:szCs w:val="21"/>
        </w:rPr>
      </w:pPr>
      <w:r>
        <w:rPr>
          <w:rFonts w:hint="eastAsia" w:ascii="微软雅黑" w:hAnsi="微软雅黑" w:eastAsia="微软雅黑" w:cs="微软雅黑"/>
          <w:b/>
          <w:bCs/>
          <w:sz w:val="21"/>
          <w:szCs w:val="21"/>
        </w:rPr>
        <w:t>申请要求</w:t>
      </w:r>
      <w:r>
        <w:rPr>
          <w:rFonts w:hint="eastAsia" w:ascii="微软雅黑" w:hAnsi="微软雅黑" w:eastAsia="微软雅黑" w:cs="微软雅黑"/>
          <w:sz w:val="21"/>
          <w:szCs w:val="21"/>
        </w:rPr>
        <w:t>：语言成绩达到大学英语四级500分/大学英语六级470分/托福79分/雅思6.0者优先录取。</w:t>
      </w:r>
      <w:r>
        <w:rPr>
          <w:rFonts w:hint="eastAsia" w:ascii="微软雅黑" w:hAnsi="微软雅黑" w:eastAsia="微软雅黑" w:cs="微软雅黑"/>
          <w:b/>
          <w:bCs/>
          <w:color w:val="232F62"/>
          <w:sz w:val="21"/>
          <w:szCs w:val="21"/>
        </w:rPr>
        <w:t>申请人需在项目开始前1个月内进行体检并提供英文体检报告。</w:t>
      </w:r>
    </w:p>
    <w:p>
      <w:pPr>
        <w:pStyle w:val="34"/>
        <w:numPr>
          <w:ilvl w:val="0"/>
          <w:numId w:val="6"/>
        </w:numPr>
        <w:jc w:val="both"/>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招生规模与录取说明：</w:t>
      </w:r>
    </w:p>
    <w:p>
      <w:pPr>
        <w:pStyle w:val="34"/>
        <w:ind w:left="440"/>
        <w:jc w:val="both"/>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rPr>
        <w:t>本项目实行小班化精品教学，计划招生不超过</w:t>
      </w:r>
      <w:r>
        <w:rPr>
          <w:rFonts w:hint="eastAsia" w:ascii="微软雅黑" w:hAnsi="微软雅黑" w:eastAsia="微软雅黑" w:cs="微软雅黑"/>
          <w:sz w:val="21"/>
          <w:szCs w:val="21"/>
          <w:lang w:val="en-US" w:eastAsia="zh-CN"/>
        </w:rPr>
        <w:t>30</w:t>
      </w:r>
      <w:r>
        <w:rPr>
          <w:rFonts w:hint="eastAsia" w:ascii="微软雅黑" w:hAnsi="微软雅黑" w:eastAsia="微软雅黑" w:cs="微软雅黑"/>
          <w:sz w:val="21"/>
          <w:szCs w:val="21"/>
        </w:rPr>
        <w:t>人，以确保每位学员都能获得充分的学习支持与指导资源。名额将按照报名顺序及材料审核结果依次确认录取，额满即止。</w:t>
      </w:r>
    </w:p>
    <w:p>
      <w:pPr>
        <w:pStyle w:val="34"/>
        <w:numPr>
          <w:ilvl w:val="0"/>
          <w:numId w:val="6"/>
        </w:numPr>
        <w:jc w:val="both"/>
        <w:rPr>
          <w:rFonts w:hint="eastAsia" w:ascii="微软雅黑" w:hAnsi="微软雅黑" w:eastAsia="微软雅黑" w:cs="微软雅黑"/>
          <w:sz w:val="21"/>
          <w:szCs w:val="21"/>
        </w:rPr>
      </w:pPr>
      <w:r>
        <w:rPr>
          <w:rFonts w:hint="eastAsia" w:ascii="微软雅黑" w:hAnsi="微软雅黑" w:eastAsia="微软雅黑" w:cs="微软雅黑"/>
          <w:b/>
          <w:bCs/>
          <w:sz w:val="21"/>
          <w:szCs w:val="21"/>
          <w:lang w:val="en-US" w:eastAsia="zh-CN"/>
        </w:rPr>
        <w:t>报名截止日期：2026年11月27日</w:t>
      </w:r>
    </w:p>
    <w:p>
      <w:pPr>
        <w:pStyle w:val="34"/>
        <w:jc w:val="both"/>
        <w:rPr>
          <w:rFonts w:hint="eastAsia" w:ascii="微软雅黑" w:hAnsi="微软雅黑" w:eastAsia="微软雅黑" w:cs="微软雅黑"/>
          <w:sz w:val="21"/>
          <w:szCs w:val="21"/>
        </w:rPr>
      </w:pPr>
    </w:p>
    <w:p>
      <w:pPr>
        <w:pStyle w:val="34"/>
        <w:numPr>
          <w:ilvl w:val="0"/>
          <w:numId w:val="3"/>
        </w:numPr>
        <w:spacing w:line="276" w:lineRule="auto"/>
        <w:jc w:val="both"/>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课程具体内容</w:t>
      </w:r>
    </w:p>
    <w:p>
      <w:pPr>
        <w:spacing w:line="240" w:lineRule="auto"/>
        <w:ind w:firstLine="420" w:firstLineChars="200"/>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项目为期两周，第一周聚焦医学科研素养提升，系统开展实验设计、数据分析、临床研究方法与伦理规范等核心内容教学；第二周进入多科室医学临床见习，在欧洲顶尖医院环境中深化学员对医学研究与临床实践关系的理解，强化科研认知与临床观察能力的有机衔接，帮助学员构建系统、规范的医学科研认知体系与国际化医学视野。</w:t>
      </w:r>
    </w:p>
    <w:p>
      <w:pPr>
        <w:spacing w:line="240" w:lineRule="auto"/>
        <w:ind w:firstLine="420" w:firstLineChars="200"/>
        <w:jc w:val="both"/>
        <w:rPr>
          <w:rFonts w:hint="eastAsia" w:ascii="微软雅黑" w:hAnsi="微软雅黑" w:eastAsia="微软雅黑" w:cs="微软雅黑"/>
          <w:sz w:val="21"/>
          <w:szCs w:val="21"/>
        </w:rPr>
      </w:pPr>
    </w:p>
    <w:tbl>
      <w:tblPr>
        <w:tblStyle w:val="45"/>
        <w:tblW w:w="5000" w:type="pct"/>
        <w:tblInd w:w="0" w:type="dxa"/>
        <w:tblBorders>
          <w:top w:val="single" w:color="156082" w:themeColor="accent1" w:sz="4" w:space="0"/>
          <w:left w:val="single" w:color="156082" w:themeColor="accent1" w:sz="4" w:space="0"/>
          <w:bottom w:val="single" w:color="156082" w:themeColor="accent1" w:sz="4" w:space="0"/>
          <w:right w:val="single" w:color="156082" w:themeColor="accent1" w:sz="4" w:space="0"/>
          <w:insideH w:val="none" w:color="auto" w:sz="0" w:space="0"/>
          <w:insideV w:val="none" w:color="auto" w:sz="0" w:space="0"/>
        </w:tblBorders>
        <w:tblLayout w:type="autofit"/>
        <w:tblCellMar>
          <w:top w:w="0" w:type="dxa"/>
          <w:left w:w="108" w:type="dxa"/>
          <w:bottom w:w="0" w:type="dxa"/>
          <w:right w:w="108" w:type="dxa"/>
        </w:tblCellMar>
      </w:tblPr>
      <w:tblGrid>
        <w:gridCol w:w="1593"/>
        <w:gridCol w:w="3483"/>
        <w:gridCol w:w="3774"/>
        <w:gridCol w:w="862"/>
      </w:tblGrid>
      <w:tr>
        <w:tblPrEx>
          <w:tblBorders>
            <w:top w:val="single" w:color="156082" w:themeColor="accent1" w:sz="4" w:space="0"/>
            <w:left w:val="single" w:color="156082" w:themeColor="accent1" w:sz="4" w:space="0"/>
            <w:bottom w:val="single" w:color="156082" w:themeColor="accent1" w:sz="4" w:space="0"/>
            <w:right w:val="single" w:color="156082" w:themeColor="accent1" w:sz="4" w:space="0"/>
            <w:insideH w:val="none" w:color="auto" w:sz="0" w:space="0"/>
            <w:insideV w:val="none" w:color="auto" w:sz="0" w:space="0"/>
          </w:tblBorders>
          <w:tblCellMar>
            <w:top w:w="0" w:type="dxa"/>
            <w:left w:w="108" w:type="dxa"/>
            <w:bottom w:w="0" w:type="dxa"/>
            <w:right w:w="108" w:type="dxa"/>
          </w:tblCellMar>
        </w:tblPrEx>
        <w:tc>
          <w:tcPr>
            <w:tcW w:w="820" w:type="pct"/>
            <w:tcBorders>
              <w:bottom w:val="nil"/>
              <w:right w:val="nil"/>
            </w:tcBorders>
            <w:shd w:val="clear" w:color="auto" w:fill="232F62"/>
          </w:tcPr>
          <w:p>
            <w:pPr>
              <w:spacing w:after="0" w:line="240" w:lineRule="auto"/>
              <w:jc w:val="center"/>
              <w:rPr>
                <w:rFonts w:hint="eastAsia" w:ascii="微软雅黑" w:hAnsi="微软雅黑" w:eastAsia="微软雅黑" w:cs="微软雅黑"/>
                <w:b w:val="0"/>
                <w:bCs w:val="0"/>
                <w:color w:val="FFFFFF" w:themeColor="background1"/>
                <w:sz w:val="21"/>
                <w:szCs w:val="21"/>
                <w14:textFill>
                  <w14:solidFill>
                    <w14:schemeClr w14:val="bg1"/>
                  </w14:solidFill>
                </w14:textFill>
              </w:rPr>
            </w:pPr>
            <w:r>
              <w:rPr>
                <w:rFonts w:hint="eastAsia" w:ascii="微软雅黑" w:hAnsi="微软雅黑" w:eastAsia="微软雅黑" w:cs="微软雅黑"/>
                <w:b/>
                <w:bCs/>
                <w:color w:val="FFFFFF" w:themeColor="background1"/>
                <w:sz w:val="21"/>
                <w:szCs w:val="21"/>
                <w14:textFill>
                  <w14:solidFill>
                    <w14:schemeClr w14:val="bg1"/>
                  </w14:solidFill>
                </w14:textFill>
              </w:rPr>
              <w:t>项目模块</w:t>
            </w:r>
          </w:p>
        </w:tc>
        <w:tc>
          <w:tcPr>
            <w:tcW w:w="1793" w:type="pct"/>
            <w:shd w:val="clear" w:color="auto" w:fill="232F62"/>
          </w:tcPr>
          <w:p>
            <w:pPr>
              <w:spacing w:after="0" w:line="240" w:lineRule="auto"/>
              <w:jc w:val="center"/>
              <w:rPr>
                <w:rFonts w:hint="eastAsia" w:ascii="微软雅黑" w:hAnsi="微软雅黑" w:eastAsia="微软雅黑" w:cs="微软雅黑"/>
                <w:b w:val="0"/>
                <w:bCs w:val="0"/>
                <w:color w:val="FFFFFF" w:themeColor="background1"/>
                <w:sz w:val="21"/>
                <w:szCs w:val="21"/>
                <w14:textFill>
                  <w14:solidFill>
                    <w14:schemeClr w14:val="bg1"/>
                  </w14:solidFill>
                </w14:textFill>
              </w:rPr>
            </w:pPr>
            <w:r>
              <w:rPr>
                <w:rFonts w:hint="eastAsia" w:ascii="微软雅黑" w:hAnsi="微软雅黑" w:eastAsia="微软雅黑" w:cs="微软雅黑"/>
                <w:b/>
                <w:bCs/>
                <w:color w:val="FFFFFF" w:themeColor="background1"/>
                <w:sz w:val="21"/>
                <w:szCs w:val="21"/>
                <w14:textFill>
                  <w14:solidFill>
                    <w14:schemeClr w14:val="bg1"/>
                  </w14:solidFill>
                </w14:textFill>
              </w:rPr>
              <w:t>课程</w:t>
            </w:r>
          </w:p>
        </w:tc>
        <w:tc>
          <w:tcPr>
            <w:tcW w:w="1943" w:type="pct"/>
            <w:shd w:val="clear" w:color="auto" w:fill="232F62"/>
          </w:tcPr>
          <w:p>
            <w:pPr>
              <w:spacing w:after="0" w:line="240" w:lineRule="auto"/>
              <w:jc w:val="center"/>
              <w:rPr>
                <w:rFonts w:hint="eastAsia" w:ascii="微软雅黑" w:hAnsi="微软雅黑" w:eastAsia="微软雅黑" w:cs="微软雅黑"/>
                <w:b w:val="0"/>
                <w:bCs w:val="0"/>
                <w:color w:val="FFFFFF" w:themeColor="background1"/>
                <w:sz w:val="21"/>
                <w:szCs w:val="21"/>
                <w14:textFill>
                  <w14:solidFill>
                    <w14:schemeClr w14:val="bg1"/>
                  </w14:solidFill>
                </w14:textFill>
              </w:rPr>
            </w:pPr>
            <w:r>
              <w:rPr>
                <w:rFonts w:hint="eastAsia" w:ascii="微软雅黑" w:hAnsi="微软雅黑" w:eastAsia="微软雅黑" w:cs="微软雅黑"/>
                <w:b/>
                <w:bCs/>
                <w:color w:val="FFFFFF" w:themeColor="background1"/>
                <w:sz w:val="21"/>
                <w:szCs w:val="21"/>
                <w14:textFill>
                  <w14:solidFill>
                    <w14:schemeClr w14:val="bg1"/>
                  </w14:solidFill>
                </w14:textFill>
              </w:rPr>
              <w:t>学习目标/见习内容</w:t>
            </w:r>
          </w:p>
        </w:tc>
        <w:tc>
          <w:tcPr>
            <w:tcW w:w="444" w:type="pct"/>
            <w:shd w:val="clear" w:color="auto" w:fill="232F62"/>
          </w:tcPr>
          <w:p>
            <w:pPr>
              <w:spacing w:after="0" w:line="240" w:lineRule="auto"/>
              <w:jc w:val="center"/>
              <w:rPr>
                <w:rFonts w:hint="eastAsia" w:ascii="微软雅黑" w:hAnsi="微软雅黑" w:eastAsia="微软雅黑" w:cs="微软雅黑"/>
                <w:b w:val="0"/>
                <w:bCs w:val="0"/>
                <w:color w:val="FFFFFF" w:themeColor="background1"/>
                <w:sz w:val="21"/>
                <w:szCs w:val="21"/>
                <w14:textFill>
                  <w14:solidFill>
                    <w14:schemeClr w14:val="bg1"/>
                  </w14:solidFill>
                </w14:textFill>
              </w:rPr>
            </w:pPr>
            <w:r>
              <w:rPr>
                <w:rFonts w:hint="eastAsia" w:ascii="微软雅黑" w:hAnsi="微软雅黑" w:eastAsia="微软雅黑" w:cs="微软雅黑"/>
                <w:b/>
                <w:bCs/>
                <w:color w:val="FFFFFF" w:themeColor="background1"/>
                <w:sz w:val="21"/>
                <w:szCs w:val="21"/>
                <w14:textFill>
                  <w14:solidFill>
                    <w14:schemeClr w14:val="bg1"/>
                  </w14:solidFill>
                </w14:textFill>
              </w:rPr>
              <w:t>课时</w:t>
            </w:r>
          </w:p>
        </w:tc>
      </w:tr>
      <w:tr>
        <w:tblPrEx>
          <w:tblBorders>
            <w:top w:val="single" w:color="156082" w:themeColor="accent1" w:sz="4" w:space="0"/>
            <w:left w:val="single" w:color="156082" w:themeColor="accent1" w:sz="4" w:space="0"/>
            <w:bottom w:val="single" w:color="156082" w:themeColor="accent1" w:sz="4" w:space="0"/>
            <w:right w:val="single" w:color="156082" w:themeColor="accent1" w:sz="4" w:space="0"/>
            <w:insideH w:val="none" w:color="auto" w:sz="0" w:space="0"/>
            <w:insideV w:val="none" w:color="auto" w:sz="0" w:space="0"/>
          </w:tblBorders>
          <w:tblCellMar>
            <w:top w:w="0" w:type="dxa"/>
            <w:left w:w="108" w:type="dxa"/>
            <w:bottom w:w="0" w:type="dxa"/>
            <w:right w:w="108" w:type="dxa"/>
          </w:tblCellMar>
        </w:tblPrEx>
        <w:tc>
          <w:tcPr>
            <w:tcW w:w="820" w:type="pct"/>
            <w:tcBorders>
              <w:top w:val="single" w:color="156082" w:themeColor="accent1" w:sz="4" w:space="0"/>
              <w:bottom w:val="single" w:color="156082" w:themeColor="accent1" w:sz="4" w:space="0"/>
              <w:right w:val="nil"/>
              <w:insideV w:val="nil"/>
            </w:tcBorders>
            <w:shd w:val="clear" w:color="auto" w:fill="FFFFFF" w:themeFill="background1"/>
            <w:vAlign w:val="center"/>
          </w:tcPr>
          <w:p>
            <w:pPr>
              <w:spacing w:after="0" w:line="276" w:lineRule="auto"/>
              <w:jc w:val="both"/>
              <w:rPr>
                <w:rFonts w:hint="eastAsia" w:ascii="微软雅黑" w:hAnsi="微软雅黑" w:eastAsia="微软雅黑" w:cs="微软雅黑"/>
                <w:b w:val="0"/>
                <w:bCs w:val="0"/>
                <w:sz w:val="21"/>
                <w:szCs w:val="21"/>
              </w:rPr>
            </w:pPr>
            <w:r>
              <w:rPr>
                <w:rFonts w:hint="eastAsia" w:ascii="微软雅黑" w:hAnsi="微软雅黑" w:eastAsia="微软雅黑" w:cs="微软雅黑"/>
                <w:b/>
                <w:bCs/>
                <w:color w:val="0E2841" w:themeColor="text2"/>
                <w:sz w:val="21"/>
                <w:szCs w:val="21"/>
                <w14:textFill>
                  <w14:solidFill>
                    <w14:schemeClr w14:val="tx2"/>
                  </w14:solidFill>
                </w14:textFill>
              </w:rPr>
              <w:t>医学科研素养提升课程</w:t>
            </w:r>
          </w:p>
        </w:tc>
        <w:tc>
          <w:tcPr>
            <w:tcW w:w="1793" w:type="pct"/>
            <w:tcBorders>
              <w:top w:val="single" w:color="156082" w:themeColor="accent1" w:sz="4" w:space="0"/>
              <w:bottom w:val="single" w:color="156082" w:themeColor="accent1" w:sz="4" w:space="0"/>
            </w:tcBorders>
            <w:vAlign w:val="center"/>
          </w:tcPr>
          <w:p>
            <w:pPr>
              <w:spacing w:after="0"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本模块系统讲解医学科研的基本研究范式与核心方法，包括实验设计、数据采集、数据分析及临床研究方法与伦理规范。通过典型医学科研案例解析与过程性讨论，学员将理解医学研究从问题提出到结果解读的完整流程，提升科研思维的规范性、严谨性与实际应用能力。</w:t>
            </w:r>
          </w:p>
        </w:tc>
        <w:tc>
          <w:tcPr>
            <w:tcW w:w="1943" w:type="pct"/>
            <w:tcBorders>
              <w:top w:val="single" w:color="156082" w:themeColor="accent1" w:sz="4" w:space="0"/>
              <w:bottom w:val="single" w:color="156082" w:themeColor="accent1" w:sz="4" w:space="0"/>
            </w:tcBorders>
            <w:vAlign w:val="center"/>
          </w:tcPr>
          <w:p>
            <w:pPr>
              <w:pStyle w:val="34"/>
              <w:numPr>
                <w:ilvl w:val="0"/>
                <w:numId w:val="7"/>
              </w:numPr>
              <w:spacing w:after="0"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理解医学科研的基本研究范式与研究流程；</w:t>
            </w:r>
          </w:p>
          <w:p>
            <w:pPr>
              <w:pStyle w:val="34"/>
              <w:numPr>
                <w:ilvl w:val="0"/>
                <w:numId w:val="7"/>
              </w:numPr>
              <w:spacing w:after="0"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掌握实验设计与医学数据分析的基本思路；</w:t>
            </w:r>
          </w:p>
          <w:p>
            <w:pPr>
              <w:pStyle w:val="34"/>
              <w:numPr>
                <w:ilvl w:val="0"/>
                <w:numId w:val="7"/>
              </w:numPr>
              <w:spacing w:after="0"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理解临床研究的基本方法与伦理合规要求；</w:t>
            </w:r>
          </w:p>
          <w:p>
            <w:pPr>
              <w:pStyle w:val="34"/>
              <w:numPr>
                <w:ilvl w:val="0"/>
                <w:numId w:val="7"/>
              </w:numPr>
              <w:spacing w:after="0"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通过科研案例分析，建立规范的科研问题分析能力。</w:t>
            </w:r>
          </w:p>
        </w:tc>
        <w:tc>
          <w:tcPr>
            <w:tcW w:w="444" w:type="pct"/>
            <w:tcBorders>
              <w:top w:val="single" w:color="156082" w:themeColor="accent1" w:sz="4" w:space="0"/>
              <w:bottom w:val="single" w:color="156082" w:themeColor="accent1" w:sz="4" w:space="0"/>
            </w:tcBorders>
            <w:vAlign w:val="center"/>
          </w:tcPr>
          <w:p>
            <w:pPr>
              <w:spacing w:after="0" w:line="276" w:lineRule="auto"/>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20</w:t>
            </w:r>
          </w:p>
        </w:tc>
      </w:tr>
      <w:tr>
        <w:tblPrEx>
          <w:tblBorders>
            <w:top w:val="single" w:color="156082" w:themeColor="accent1" w:sz="4" w:space="0"/>
            <w:left w:val="single" w:color="156082" w:themeColor="accent1" w:sz="4" w:space="0"/>
            <w:bottom w:val="single" w:color="156082" w:themeColor="accent1" w:sz="4" w:space="0"/>
            <w:right w:val="single" w:color="156082" w:themeColor="accent1" w:sz="4" w:space="0"/>
            <w:insideH w:val="none" w:color="auto" w:sz="0" w:space="0"/>
            <w:insideV w:val="none" w:color="auto" w:sz="0" w:space="0"/>
          </w:tblBorders>
          <w:tblCellMar>
            <w:top w:w="0" w:type="dxa"/>
            <w:left w:w="108" w:type="dxa"/>
            <w:bottom w:w="0" w:type="dxa"/>
            <w:right w:w="108" w:type="dxa"/>
          </w:tblCellMar>
        </w:tblPrEx>
        <w:tc>
          <w:tcPr>
            <w:tcW w:w="820" w:type="pct"/>
            <w:tcBorders>
              <w:right w:val="nil"/>
              <w:insideV w:val="nil"/>
            </w:tcBorders>
            <w:shd w:val="clear" w:color="auto" w:fill="FFFFFF" w:themeFill="background1"/>
            <w:vAlign w:val="center"/>
          </w:tcPr>
          <w:p>
            <w:pPr>
              <w:spacing w:after="0" w:line="276" w:lineRule="auto"/>
              <w:jc w:val="both"/>
              <w:rPr>
                <w:rFonts w:hint="eastAsia" w:ascii="微软雅黑" w:hAnsi="微软雅黑" w:eastAsia="微软雅黑" w:cs="微软雅黑"/>
                <w:b w:val="0"/>
                <w:bCs w:val="0"/>
                <w:sz w:val="21"/>
                <w:szCs w:val="21"/>
              </w:rPr>
            </w:pPr>
            <w:r>
              <w:rPr>
                <w:rFonts w:hint="eastAsia" w:ascii="微软雅黑" w:hAnsi="微软雅黑" w:eastAsia="微软雅黑" w:cs="微软雅黑"/>
                <w:b/>
                <w:bCs/>
                <w:color w:val="0E2841" w:themeColor="text2"/>
                <w:sz w:val="21"/>
                <w:szCs w:val="21"/>
                <w14:textFill>
                  <w14:solidFill>
                    <w14:schemeClr w14:val="tx2"/>
                  </w14:solidFill>
                </w14:textFill>
              </w:rPr>
              <w:t>多科室医学见习</w:t>
            </w:r>
          </w:p>
        </w:tc>
        <w:tc>
          <w:tcPr>
            <w:tcW w:w="1793" w:type="pct"/>
            <w:vAlign w:val="center"/>
          </w:tcPr>
          <w:p>
            <w:pPr>
              <w:spacing w:after="0"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学员将进入塞梅维什大学合作医院，参与临床见习，在资深医师指导下开展病例研讨、手术观摩与诊断实践，深入了解欧洲医院系统的运作模式。</w:t>
            </w:r>
          </w:p>
        </w:tc>
        <w:tc>
          <w:tcPr>
            <w:tcW w:w="1943" w:type="pct"/>
            <w:vAlign w:val="center"/>
          </w:tcPr>
          <w:p>
            <w:pPr>
              <w:pStyle w:val="34"/>
              <w:numPr>
                <w:ilvl w:val="0"/>
                <w:numId w:val="8"/>
              </w:numPr>
              <w:spacing w:after="0"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外科、移植与胃肠病学部门临床见习；</w:t>
            </w:r>
          </w:p>
          <w:p>
            <w:pPr>
              <w:pStyle w:val="34"/>
              <w:numPr>
                <w:ilvl w:val="0"/>
                <w:numId w:val="8"/>
              </w:numPr>
              <w:spacing w:after="0"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心脏与血管中心临床与会诊；</w:t>
            </w:r>
          </w:p>
          <w:p>
            <w:pPr>
              <w:pStyle w:val="34"/>
              <w:numPr>
                <w:ilvl w:val="0"/>
                <w:numId w:val="8"/>
              </w:numPr>
              <w:spacing w:after="0"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急救门诊观摩与实践体验；</w:t>
            </w:r>
          </w:p>
          <w:p>
            <w:pPr>
              <w:pStyle w:val="34"/>
              <w:numPr>
                <w:ilvl w:val="0"/>
                <w:numId w:val="8"/>
              </w:numPr>
              <w:spacing w:after="0" w:line="276" w:lineRule="auto"/>
              <w:jc w:val="both"/>
              <w:rPr>
                <w:rFonts w:hint="eastAsia" w:ascii="微软雅黑" w:hAnsi="微软雅黑" w:eastAsia="微软雅黑" w:cs="微软雅黑"/>
                <w:sz w:val="21"/>
                <w:szCs w:val="21"/>
              </w:rPr>
            </w:pPr>
            <w:r>
              <w:rPr>
                <w:rFonts w:hint="eastAsia" w:ascii="微软雅黑" w:hAnsi="微软雅黑" w:eastAsia="微软雅黑" w:cs="微软雅黑"/>
                <w:sz w:val="21"/>
                <w:szCs w:val="21"/>
              </w:rPr>
              <w:t>病例讨论与术后护理流程学习。</w:t>
            </w:r>
          </w:p>
        </w:tc>
        <w:tc>
          <w:tcPr>
            <w:tcW w:w="444" w:type="pct"/>
            <w:vAlign w:val="center"/>
          </w:tcPr>
          <w:p>
            <w:pPr>
              <w:spacing w:after="0" w:line="276" w:lineRule="auto"/>
              <w:jc w:val="center"/>
              <w:rPr>
                <w:rFonts w:hint="eastAsia" w:ascii="微软雅黑" w:hAnsi="微软雅黑" w:eastAsia="微软雅黑" w:cs="微软雅黑"/>
                <w:sz w:val="21"/>
                <w:szCs w:val="21"/>
              </w:rPr>
            </w:pPr>
            <w:r>
              <w:rPr>
                <w:rFonts w:hint="eastAsia" w:ascii="微软雅黑" w:hAnsi="微软雅黑" w:eastAsia="微软雅黑" w:cs="微软雅黑"/>
                <w:sz w:val="21"/>
                <w:szCs w:val="21"/>
              </w:rPr>
              <w:t>20</w:t>
            </w:r>
          </w:p>
        </w:tc>
      </w:tr>
    </w:tbl>
    <w:p>
      <w:pPr>
        <w:rPr>
          <w:rFonts w:hint="eastAsia" w:ascii="微软雅黑" w:hAnsi="微软雅黑" w:eastAsia="微软雅黑" w:cs="微软雅黑"/>
          <w:color w:val="002060"/>
          <w:sz w:val="20"/>
          <w:szCs w:val="20"/>
        </w:rPr>
      </w:pPr>
      <w:r>
        <w:rPr>
          <w:rFonts w:hint="eastAsia" w:ascii="微软雅黑" w:hAnsi="微软雅黑" w:eastAsia="微软雅黑" w:cs="微软雅黑"/>
          <w:color w:val="002060"/>
          <w:sz w:val="20"/>
          <w:szCs w:val="20"/>
        </w:rPr>
        <w:t>※以上为拟定课程内容，最终课程内容以学校实际安排为准。</w:t>
      </w:r>
    </w:p>
    <w:p>
      <w:pPr>
        <w:pStyle w:val="4"/>
        <w:spacing w:before="0" w:after="0"/>
        <w:rPr>
          <w:rFonts w:hint="eastAsia" w:ascii="微软雅黑" w:hAnsi="微软雅黑" w:eastAsia="微软雅黑" w:cs="微软雅黑"/>
        </w:rPr>
      </w:pPr>
      <w:r>
        <w:rPr>
          <w:rFonts w:hint="eastAsia" w:ascii="微软雅黑" w:hAnsi="微软雅黑" w:eastAsia="微软雅黑" w:cs="微软雅黑"/>
        </w:rPr>
        <w:t>项目费用</w:t>
      </w:r>
    </w:p>
    <w:p>
      <w:pPr>
        <w:pStyle w:val="34"/>
        <w:numPr>
          <w:ilvl w:val="0"/>
          <w:numId w:val="9"/>
        </w:numPr>
        <w:spacing w:line="276" w:lineRule="auto"/>
        <w:rPr>
          <w:rFonts w:hint="eastAsia" w:ascii="微软雅黑" w:hAnsi="微软雅黑" w:eastAsia="微软雅黑" w:cs="微软雅黑"/>
          <w:color w:val="FFFF00"/>
          <w:sz w:val="21"/>
          <w:szCs w:val="21"/>
        </w:rPr>
      </w:pPr>
      <w:r>
        <w:rPr>
          <w:rFonts w:hint="eastAsia" w:ascii="微软雅黑" w:hAnsi="微软雅黑" w:eastAsia="微软雅黑" w:cs="微软雅黑"/>
          <w:b/>
          <w:bCs/>
          <w:sz w:val="21"/>
          <w:szCs w:val="21"/>
        </w:rPr>
        <w:t>项目费用</w:t>
      </w:r>
      <w:r>
        <w:rPr>
          <w:rFonts w:hint="eastAsia" w:ascii="微软雅黑" w:hAnsi="微软雅黑" w:eastAsia="微软雅黑" w:cs="微软雅黑"/>
          <w:sz w:val="21"/>
          <w:szCs w:val="21"/>
        </w:rPr>
        <w:t>：人民币28,800元/人</w:t>
      </w:r>
    </w:p>
    <w:p>
      <w:pPr>
        <w:pStyle w:val="34"/>
        <w:numPr>
          <w:ilvl w:val="0"/>
          <w:numId w:val="9"/>
        </w:numPr>
        <w:spacing w:line="276" w:lineRule="auto"/>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项目费用包括</w:t>
      </w:r>
      <w:r>
        <w:rPr>
          <w:rFonts w:hint="eastAsia" w:ascii="微软雅黑" w:hAnsi="微软雅黑" w:eastAsia="微软雅黑" w:cs="微软雅黑"/>
          <w:sz w:val="21"/>
          <w:szCs w:val="21"/>
        </w:rPr>
        <w:t>：项目课程及教学材料费用、</w:t>
      </w:r>
      <w:bookmarkStart w:id="2" w:name="_GoBack"/>
      <w:r>
        <w:rPr>
          <w:rFonts w:hint="eastAsia" w:ascii="微软雅黑" w:hAnsi="微软雅黑" w:eastAsia="微软雅黑" w:cs="微软雅黑"/>
          <w:sz w:val="21"/>
          <w:szCs w:val="21"/>
          <w:highlight w:val="yellow"/>
        </w:rPr>
        <w:t>教学场地使用费用、</w:t>
      </w:r>
      <w:bookmarkEnd w:id="2"/>
      <w:r>
        <w:rPr>
          <w:rFonts w:hint="eastAsia" w:ascii="微软雅黑" w:hAnsi="微软雅黑" w:eastAsia="微软雅黑" w:cs="微软雅黑"/>
          <w:sz w:val="21"/>
          <w:szCs w:val="21"/>
        </w:rPr>
        <w:t>项目期间住宿费用、统一时间的接送机费用、塞梅维什大学官方结业证书费用。</w:t>
      </w:r>
    </w:p>
    <w:p>
      <w:pPr>
        <w:pStyle w:val="34"/>
        <w:numPr>
          <w:ilvl w:val="0"/>
          <w:numId w:val="9"/>
        </w:numPr>
        <w:spacing w:line="276" w:lineRule="auto"/>
        <w:rPr>
          <w:rFonts w:hint="eastAsia" w:ascii="微软雅黑" w:hAnsi="微软雅黑" w:eastAsia="微软雅黑" w:cs="微软雅黑"/>
          <w:sz w:val="21"/>
          <w:szCs w:val="21"/>
        </w:rPr>
      </w:pPr>
      <w:r>
        <w:rPr>
          <w:rFonts w:hint="eastAsia" w:ascii="微软雅黑" w:hAnsi="微软雅黑" w:eastAsia="微软雅黑" w:cs="微软雅黑"/>
          <w:b/>
          <w:bCs/>
          <w:sz w:val="21"/>
          <w:szCs w:val="21"/>
        </w:rPr>
        <w:t>项目费用不包括</w:t>
      </w:r>
      <w:r>
        <w:rPr>
          <w:rFonts w:hint="eastAsia" w:ascii="微软雅黑" w:hAnsi="微软雅黑" w:eastAsia="微软雅黑" w:cs="微软雅黑"/>
          <w:sz w:val="21"/>
          <w:szCs w:val="21"/>
        </w:rPr>
        <w:t>：匈牙利签证费用（</w:t>
      </w:r>
      <w:r>
        <w:rPr>
          <w:rFonts w:hint="eastAsia" w:ascii="微软雅黑" w:hAnsi="微软雅黑" w:eastAsia="微软雅黑" w:cs="微软雅黑"/>
          <w:color w:val="002060"/>
          <w:sz w:val="21"/>
          <w:szCs w:val="21"/>
        </w:rPr>
        <w:t>教育项目可退签证费，具体以签证中心和使领馆要求为准</w:t>
      </w:r>
      <w:r>
        <w:rPr>
          <w:rFonts w:hint="eastAsia" w:ascii="微软雅黑" w:hAnsi="微软雅黑" w:eastAsia="微软雅黑" w:cs="微软雅黑"/>
          <w:sz w:val="21"/>
          <w:szCs w:val="21"/>
        </w:rPr>
        <w:t>）、国际往返机票、当地交通费用、项目期间三餐、境外个人旅行意外险、其他个人消费。</w:t>
      </w:r>
    </w:p>
    <w:p>
      <w:pPr>
        <w:pStyle w:val="4"/>
        <w:spacing w:before="0" w:after="0"/>
        <w:ind w:left="0" w:firstLine="0"/>
        <w:rPr>
          <w:rFonts w:hint="eastAsia" w:ascii="微软雅黑" w:hAnsi="微软雅黑" w:eastAsia="微软雅黑" w:cs="微软雅黑"/>
        </w:rPr>
      </w:pPr>
      <w:r>
        <w:rPr>
          <w:rFonts w:hint="eastAsia" w:ascii="微软雅黑" w:hAnsi="微软雅黑" w:eastAsia="微软雅黑" w:cs="微软雅黑"/>
        </w:rPr>
        <w:t>项目咨询</w:t>
      </w:r>
    </w:p>
    <w:p>
      <w:pPr>
        <w:rPr>
          <w:rFonts w:hint="eastAsia" w:ascii="微软雅黑" w:hAnsi="微软雅黑" w:eastAsia="微软雅黑" w:cs="微软雅黑"/>
          <w:b/>
          <w:bCs/>
        </w:rPr>
      </w:pPr>
      <w:r>
        <w:rPr>
          <w:rFonts w:hint="eastAsia" w:ascii="微软雅黑" w:hAnsi="微软雅黑" w:eastAsia="微软雅黑" w:cs="微软雅黑"/>
        </w:rPr>
        <w:t xml:space="preserve">   </w:t>
      </w:r>
      <w:r>
        <w:rPr>
          <w:rFonts w:hint="eastAsia" w:ascii="微软雅黑" w:hAnsi="微软雅黑" w:eastAsia="微软雅黑" w:cs="微软雅黑"/>
          <w:b/>
          <w:bCs/>
        </w:rPr>
        <w:t xml:space="preserve">  项目组王老师 13918991974 （微信同号）</w:t>
      </w:r>
    </w:p>
    <w:p>
      <w:pPr>
        <w:spacing w:line="276" w:lineRule="auto"/>
        <w:rPr>
          <w:rFonts w:hint="eastAsia" w:ascii="微软雅黑" w:hAnsi="微软雅黑" w:eastAsia="微软雅黑" w:cs="微软雅黑"/>
          <w:sz w:val="21"/>
          <w:szCs w:val="21"/>
        </w:rPr>
      </w:pPr>
    </w:p>
    <w:p>
      <w:pPr>
        <w:spacing w:line="240" w:lineRule="auto"/>
        <w:jc w:val="both"/>
        <w:rPr>
          <w:rFonts w:hint="eastAsia" w:ascii="微软雅黑" w:hAnsi="微软雅黑" w:eastAsia="微软雅黑" w:cs="微软雅黑"/>
          <w:b/>
          <w:bCs/>
          <w:sz w:val="24"/>
        </w:rPr>
      </w:pPr>
      <w:r>
        <w:rPr>
          <w:rFonts w:hint="eastAsia" w:ascii="微软雅黑" w:hAnsi="微软雅黑" w:eastAsia="微软雅黑" w:cs="微软雅黑"/>
          <w:b/>
          <w:bCs/>
          <w:sz w:val="24"/>
        </w:rPr>
        <w:t>附件1：拟定项目日程</w:t>
      </w:r>
    </w:p>
    <w:tbl>
      <w:tblPr>
        <w:tblStyle w:val="46"/>
        <w:tblW w:w="5000" w:type="pct"/>
        <w:tblInd w:w="0" w:type="dxa"/>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Layout w:type="autofit"/>
        <w:tblCellMar>
          <w:top w:w="0" w:type="dxa"/>
          <w:left w:w="108" w:type="dxa"/>
          <w:bottom w:w="0" w:type="dxa"/>
          <w:right w:w="108" w:type="dxa"/>
        </w:tblCellMar>
      </w:tblPr>
      <w:tblGrid>
        <w:gridCol w:w="895"/>
        <w:gridCol w:w="894"/>
        <w:gridCol w:w="822"/>
        <w:gridCol w:w="4205"/>
        <w:gridCol w:w="2896"/>
      </w:tblGrid>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5000" w:type="pct"/>
            <w:gridSpan w:val="5"/>
            <w:tcBorders>
              <w:top w:val="nil"/>
              <w:left w:val="nil"/>
              <w:bottom w:val="nil"/>
              <w:right w:val="nil"/>
              <w:insideV w:val="nil"/>
            </w:tcBorders>
            <w:shd w:val="clear" w:color="auto" w:fill="232F62"/>
            <w:vAlign w:val="center"/>
          </w:tcPr>
          <w:p>
            <w:pPr>
              <w:spacing w:after="0" w:line="480" w:lineRule="exact"/>
              <w:jc w:val="center"/>
              <w:rPr>
                <w:rFonts w:hint="eastAsia" w:ascii="微软雅黑" w:hAnsi="微软雅黑" w:eastAsia="微软雅黑" w:cs="微软雅黑"/>
                <w:b/>
                <w:bCs/>
                <w:color w:val="FFFFFF" w:themeColor="background1"/>
                <w:sz w:val="21"/>
                <w:szCs w:val="21"/>
                <w14:textFill>
                  <w14:solidFill>
                    <w14:schemeClr w14:val="bg1"/>
                  </w14:solidFill>
                </w14:textFill>
              </w:rPr>
            </w:pPr>
            <w:r>
              <w:rPr>
                <w:rFonts w:hint="eastAsia" w:ascii="微软雅黑" w:hAnsi="微软雅黑" w:eastAsia="微软雅黑" w:cs="微软雅黑"/>
                <w:b/>
                <w:bCs/>
                <w:color w:val="FFFFFF" w:themeColor="background1"/>
                <w:sz w:val="21"/>
                <w:szCs w:val="21"/>
                <w14:textFill>
                  <w14:solidFill>
                    <w14:schemeClr w14:val="bg1"/>
                  </w14:solidFill>
                </w14:textFill>
              </w:rPr>
              <w:t>第一部分：医学数字素养提升模块</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20" w:hRule="atLeast"/>
        </w:trPr>
        <w:tc>
          <w:tcPr>
            <w:tcW w:w="461" w:type="pct"/>
            <w:shd w:val="clear" w:color="auto" w:fill="E3D596"/>
            <w:vAlign w:val="center"/>
          </w:tcPr>
          <w:p>
            <w:pPr>
              <w:spacing w:after="0" w:line="480" w:lineRule="exact"/>
              <w:jc w:val="center"/>
              <w:rPr>
                <w:rFonts w:hint="eastAsia" w:ascii="微软雅黑" w:hAnsi="微软雅黑" w:eastAsia="微软雅黑" w:cs="微软雅黑"/>
                <w:b/>
                <w:bCs/>
                <w:color w:val="000000" w:themeColor="text1"/>
                <w:sz w:val="21"/>
                <w:szCs w:val="21"/>
                <w14:textFill>
                  <w14:solidFill>
                    <w14:schemeClr w14:val="tx1"/>
                  </w14:solidFill>
                </w14:textFill>
              </w:rPr>
            </w:pPr>
            <w:r>
              <w:rPr>
                <w:rFonts w:hint="eastAsia" w:ascii="微软雅黑" w:hAnsi="微软雅黑" w:eastAsia="微软雅黑" w:cs="微软雅黑"/>
                <w:b/>
                <w:bCs/>
                <w:color w:val="000000" w:themeColor="text1"/>
                <w:sz w:val="21"/>
                <w:szCs w:val="21"/>
                <w14:textFill>
                  <w14:solidFill>
                    <w14:schemeClr w14:val="tx1"/>
                  </w14:solidFill>
                </w14:textFill>
              </w:rPr>
              <w:t>周数</w:t>
            </w:r>
          </w:p>
        </w:tc>
        <w:tc>
          <w:tcPr>
            <w:tcW w:w="460" w:type="pct"/>
            <w:shd w:val="clear" w:color="auto" w:fill="E3D596"/>
            <w:vAlign w:val="center"/>
          </w:tcPr>
          <w:p>
            <w:pPr>
              <w:spacing w:after="0" w:line="480" w:lineRule="exact"/>
              <w:jc w:val="center"/>
              <w:rPr>
                <w:rFonts w:hint="eastAsia" w:ascii="微软雅黑" w:hAnsi="微软雅黑" w:eastAsia="微软雅黑" w:cs="微软雅黑"/>
                <w:b/>
                <w:bCs/>
                <w:color w:val="000000" w:themeColor="text1"/>
                <w:sz w:val="21"/>
                <w:szCs w:val="21"/>
                <w14:textFill>
                  <w14:solidFill>
                    <w14:schemeClr w14:val="tx1"/>
                  </w14:solidFill>
                </w14:textFill>
              </w:rPr>
            </w:pPr>
            <w:r>
              <w:rPr>
                <w:rFonts w:hint="eastAsia" w:ascii="微软雅黑" w:hAnsi="微软雅黑" w:eastAsia="微软雅黑" w:cs="微软雅黑"/>
                <w:b/>
                <w:bCs/>
                <w:color w:val="000000" w:themeColor="text1"/>
                <w:sz w:val="21"/>
                <w:szCs w:val="21"/>
                <w14:textFill>
                  <w14:solidFill>
                    <w14:schemeClr w14:val="tx1"/>
                  </w14:solidFill>
                </w14:textFill>
              </w:rPr>
              <w:t>天数</w:t>
            </w:r>
          </w:p>
        </w:tc>
        <w:tc>
          <w:tcPr>
            <w:tcW w:w="423" w:type="pct"/>
            <w:shd w:val="clear" w:color="auto" w:fill="E3D596"/>
            <w:vAlign w:val="center"/>
          </w:tcPr>
          <w:p>
            <w:pPr>
              <w:spacing w:after="0" w:line="480" w:lineRule="exact"/>
              <w:jc w:val="center"/>
              <w:rPr>
                <w:rFonts w:hint="eastAsia" w:ascii="微软雅黑" w:hAnsi="微软雅黑" w:eastAsia="微软雅黑" w:cs="微软雅黑"/>
                <w:b/>
                <w:bCs/>
                <w:color w:val="000000" w:themeColor="text1"/>
                <w:sz w:val="21"/>
                <w:szCs w:val="21"/>
                <w14:textFill>
                  <w14:solidFill>
                    <w14:schemeClr w14:val="tx1"/>
                  </w14:solidFill>
                </w14:textFill>
              </w:rPr>
            </w:pPr>
            <w:r>
              <w:rPr>
                <w:rFonts w:hint="eastAsia" w:ascii="微软雅黑" w:hAnsi="微软雅黑" w:eastAsia="微软雅黑" w:cs="微软雅黑"/>
                <w:b/>
                <w:bCs/>
                <w:color w:val="000000" w:themeColor="text1"/>
                <w:sz w:val="21"/>
                <w:szCs w:val="21"/>
                <w14:textFill>
                  <w14:solidFill>
                    <w14:schemeClr w14:val="tx1"/>
                  </w14:solidFill>
                </w14:textFill>
              </w:rPr>
              <w:t>时间</w:t>
            </w:r>
          </w:p>
        </w:tc>
        <w:tc>
          <w:tcPr>
            <w:tcW w:w="2165" w:type="pct"/>
            <w:shd w:val="clear" w:color="auto" w:fill="E3D596"/>
            <w:vAlign w:val="center"/>
          </w:tcPr>
          <w:p>
            <w:pPr>
              <w:spacing w:after="0" w:line="480" w:lineRule="exact"/>
              <w:jc w:val="center"/>
              <w:rPr>
                <w:rFonts w:hint="eastAsia" w:ascii="微软雅黑" w:hAnsi="微软雅黑" w:eastAsia="微软雅黑" w:cs="微软雅黑"/>
                <w:b/>
                <w:bCs/>
                <w:color w:val="000000" w:themeColor="text1"/>
                <w:sz w:val="21"/>
                <w:szCs w:val="21"/>
                <w14:textFill>
                  <w14:solidFill>
                    <w14:schemeClr w14:val="tx1"/>
                  </w14:solidFill>
                </w14:textFill>
              </w:rPr>
            </w:pPr>
            <w:r>
              <w:rPr>
                <w:rFonts w:hint="eastAsia" w:ascii="微软雅黑" w:hAnsi="微软雅黑" w:eastAsia="微软雅黑" w:cs="微软雅黑"/>
                <w:b/>
                <w:bCs/>
                <w:color w:val="000000" w:themeColor="text1"/>
                <w:sz w:val="21"/>
                <w:szCs w:val="21"/>
                <w14:textFill>
                  <w14:solidFill>
                    <w14:schemeClr w14:val="tx1"/>
                  </w14:solidFill>
                </w14:textFill>
              </w:rPr>
              <w:t>课程主题与详细内容</w:t>
            </w:r>
          </w:p>
        </w:tc>
        <w:tc>
          <w:tcPr>
            <w:tcW w:w="1491" w:type="pct"/>
            <w:shd w:val="clear" w:color="auto" w:fill="E3D596"/>
            <w:vAlign w:val="center"/>
          </w:tcPr>
          <w:p>
            <w:pPr>
              <w:spacing w:after="0" w:line="480" w:lineRule="exact"/>
              <w:jc w:val="center"/>
              <w:rPr>
                <w:rFonts w:hint="eastAsia" w:ascii="微软雅黑" w:hAnsi="微软雅黑" w:eastAsia="微软雅黑" w:cs="微软雅黑"/>
                <w:b/>
                <w:bCs/>
                <w:color w:val="000000" w:themeColor="text1"/>
                <w:sz w:val="21"/>
                <w:szCs w:val="21"/>
                <w14:textFill>
                  <w14:solidFill>
                    <w14:schemeClr w14:val="tx1"/>
                  </w14:solidFill>
                </w14:textFill>
              </w:rPr>
            </w:pPr>
            <w:r>
              <w:rPr>
                <w:rFonts w:hint="eastAsia" w:ascii="微软雅黑" w:hAnsi="微软雅黑" w:eastAsia="微软雅黑" w:cs="微软雅黑"/>
                <w:b/>
                <w:bCs/>
                <w:color w:val="000000" w:themeColor="text1"/>
                <w:sz w:val="21"/>
                <w:szCs w:val="21"/>
                <w14:textFill>
                  <w14:solidFill>
                    <w14:schemeClr w14:val="tx1"/>
                  </w14:solidFill>
                </w14:textFill>
              </w:rPr>
              <w:t>学术目标与产出</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restart"/>
            <w:vAlign w:val="center"/>
          </w:tcPr>
          <w:p>
            <w:pPr>
              <w:spacing w:after="0" w:line="480" w:lineRule="exact"/>
              <w:jc w:val="center"/>
              <w:rPr>
                <w:rFonts w:hint="eastAsia" w:ascii="微软雅黑" w:hAnsi="微软雅黑" w:eastAsia="微软雅黑" w:cs="微软雅黑"/>
                <w:b/>
                <w:bCs/>
                <w:sz w:val="18"/>
                <w:szCs w:val="18"/>
              </w:rPr>
            </w:pPr>
            <w:r>
              <w:rPr>
                <w:rFonts w:hint="eastAsia" w:ascii="微软雅黑" w:hAnsi="微软雅黑" w:eastAsia="微软雅黑" w:cs="微软雅黑"/>
                <w:b w:val="0"/>
                <w:bCs w:val="0"/>
                <w:sz w:val="18"/>
                <w:szCs w:val="18"/>
              </w:rPr>
              <w:t>第一周</w:t>
            </w:r>
          </w:p>
        </w:tc>
        <w:tc>
          <w:tcPr>
            <w:tcW w:w="460" w:type="pc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第一天</w:t>
            </w:r>
          </w:p>
        </w:tc>
        <w:tc>
          <w:tcPr>
            <w:tcW w:w="423" w:type="pct"/>
            <w:vAlign w:val="center"/>
          </w:tcPr>
          <w:p>
            <w:pPr>
              <w:pStyle w:val="39"/>
              <w:jc w:val="center"/>
              <w:rPr>
                <w:rStyle w:val="20"/>
                <w:rFonts w:hint="eastAsia" w:ascii="微软雅黑" w:hAnsi="微软雅黑" w:eastAsia="微软雅黑" w:cs="微软雅黑"/>
                <w:b w:val="0"/>
                <w:bCs w:val="0"/>
                <w:color w:val="0F1115"/>
                <w:sz w:val="18"/>
                <w:szCs w:val="18"/>
              </w:rPr>
            </w:pPr>
            <w:r>
              <w:rPr>
                <w:rStyle w:val="20"/>
                <w:rFonts w:hint="eastAsia" w:ascii="微软雅黑" w:hAnsi="微软雅黑" w:eastAsia="微软雅黑" w:cs="微软雅黑"/>
                <w:b w:val="0"/>
                <w:bCs w:val="0"/>
                <w:color w:val="0F1115"/>
                <w:sz w:val="18"/>
                <w:szCs w:val="18"/>
              </w:rPr>
              <w:t>全天</w:t>
            </w:r>
          </w:p>
        </w:tc>
        <w:tc>
          <w:tcPr>
            <w:tcW w:w="3656" w:type="pct"/>
            <w:gridSpan w:val="2"/>
            <w:vAlign w:val="center"/>
          </w:tcPr>
          <w:p>
            <w:pPr>
              <w:pStyle w:val="39"/>
              <w:jc w:val="both"/>
              <w:rPr>
                <w:rFonts w:hint="eastAsia" w:ascii="微软雅黑" w:hAnsi="微软雅黑" w:eastAsia="微软雅黑" w:cs="微软雅黑"/>
                <w:color w:val="0F1115"/>
                <w:sz w:val="18"/>
                <w:szCs w:val="18"/>
              </w:rPr>
            </w:pPr>
            <w:r>
              <w:rPr>
                <w:rFonts w:hint="eastAsia" w:ascii="微软雅黑" w:hAnsi="微软雅黑" w:eastAsia="微软雅黑" w:cs="微软雅黑"/>
                <w:color w:val="0F1115"/>
                <w:sz w:val="18"/>
                <w:szCs w:val="18"/>
              </w:rPr>
              <w:t>抵达匈牙利布达佩斯，入住调整时差。</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continue"/>
            <w:vAlign w:val="center"/>
          </w:tcPr>
          <w:p>
            <w:pPr>
              <w:spacing w:after="0" w:line="480" w:lineRule="exact"/>
              <w:jc w:val="center"/>
              <w:rPr>
                <w:rFonts w:hint="eastAsia" w:ascii="微软雅黑" w:hAnsi="微软雅黑" w:eastAsia="微软雅黑" w:cs="微软雅黑"/>
                <w:b w:val="0"/>
                <w:bCs w:val="0"/>
                <w:sz w:val="18"/>
                <w:szCs w:val="18"/>
              </w:rPr>
            </w:pPr>
          </w:p>
        </w:tc>
        <w:tc>
          <w:tcPr>
            <w:tcW w:w="460" w:type="pct"/>
            <w:vMerge w:val="restar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第二天</w:t>
            </w:r>
          </w:p>
        </w:tc>
        <w:tc>
          <w:tcPr>
            <w:tcW w:w="423" w:type="pct"/>
            <w:vAlign w:val="center"/>
          </w:tcPr>
          <w:p>
            <w:pPr>
              <w:pStyle w:val="39"/>
              <w:jc w:val="center"/>
              <w:rPr>
                <w:rStyle w:val="20"/>
                <w:rFonts w:hint="eastAsia" w:ascii="微软雅黑" w:hAnsi="微软雅黑" w:eastAsia="微软雅黑" w:cs="微软雅黑"/>
                <w:b w:val="0"/>
                <w:bCs w:val="0"/>
                <w:color w:val="0F1115"/>
                <w:sz w:val="18"/>
                <w:szCs w:val="18"/>
              </w:rPr>
            </w:pPr>
            <w:r>
              <w:rPr>
                <w:rStyle w:val="20"/>
                <w:rFonts w:hint="eastAsia" w:ascii="微软雅黑" w:hAnsi="微软雅黑" w:eastAsia="微软雅黑" w:cs="微软雅黑"/>
                <w:b w:val="0"/>
                <w:bCs w:val="0"/>
                <w:color w:val="0F1115"/>
                <w:sz w:val="18"/>
                <w:szCs w:val="18"/>
              </w:rPr>
              <w:t>上午</w:t>
            </w:r>
          </w:p>
        </w:tc>
        <w:tc>
          <w:tcPr>
            <w:tcW w:w="2165" w:type="pct"/>
            <w:vAlign w:val="center"/>
          </w:tcPr>
          <w:p>
            <w:pPr>
              <w:pStyle w:val="39"/>
              <w:jc w:val="both"/>
              <w:rPr>
                <w:rFonts w:hint="eastAsia" w:ascii="微软雅黑" w:hAnsi="微软雅黑" w:eastAsia="微软雅黑" w:cs="微软雅黑"/>
                <w:sz w:val="18"/>
                <w:szCs w:val="18"/>
              </w:rPr>
            </w:pPr>
            <w:r>
              <w:rPr>
                <w:rStyle w:val="20"/>
                <w:rFonts w:hint="eastAsia" w:ascii="微软雅黑" w:hAnsi="微软雅黑" w:eastAsia="微软雅黑" w:cs="微软雅黑"/>
                <w:color w:val="0F1115"/>
                <w:sz w:val="18"/>
                <w:szCs w:val="18"/>
              </w:rPr>
              <w:t>开营仪式&amp;项目介绍</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项目课程体系与学习要求说明</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xml:space="preserve">• 转化医学的基本概念与研究范式 </w:t>
            </w:r>
          </w:p>
        </w:tc>
        <w:tc>
          <w:tcPr>
            <w:tcW w:w="1491" w:type="pct"/>
            <w:vAlign w:val="center"/>
          </w:tcPr>
          <w:p>
            <w:pPr>
              <w:pStyle w:val="39"/>
              <w:jc w:val="both"/>
              <w:rPr>
                <w:rStyle w:val="20"/>
                <w:rFonts w:hint="eastAsia" w:ascii="微软雅黑" w:hAnsi="微软雅黑" w:eastAsia="微软雅黑" w:cs="微软雅黑"/>
                <w:b w:val="0"/>
                <w:bCs w:val="0"/>
                <w:color w:val="0F1115"/>
                <w:sz w:val="18"/>
                <w:szCs w:val="18"/>
              </w:rPr>
            </w:pPr>
            <w:r>
              <w:rPr>
                <w:rFonts w:hint="eastAsia" w:ascii="微软雅黑" w:hAnsi="微软雅黑" w:eastAsia="微软雅黑" w:cs="微软雅黑"/>
                <w:color w:val="0F1115"/>
                <w:sz w:val="18"/>
                <w:szCs w:val="18"/>
              </w:rPr>
              <w:t>了解学校医学科研与教学体系，建立对转化医学和临床研究的整体认知框架。</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continue"/>
            <w:vAlign w:val="center"/>
          </w:tcPr>
          <w:p>
            <w:pPr>
              <w:spacing w:after="0" w:line="480" w:lineRule="exact"/>
              <w:rPr>
                <w:rFonts w:hint="eastAsia" w:ascii="微软雅黑" w:hAnsi="微软雅黑" w:eastAsia="微软雅黑" w:cs="微软雅黑"/>
                <w:b w:val="0"/>
                <w:bCs w:val="0"/>
                <w:sz w:val="18"/>
                <w:szCs w:val="18"/>
              </w:rPr>
            </w:pPr>
          </w:p>
        </w:tc>
        <w:tc>
          <w:tcPr>
            <w:tcW w:w="460" w:type="pct"/>
            <w:vMerge w:val="continue"/>
            <w:vAlign w:val="center"/>
          </w:tcPr>
          <w:p>
            <w:pPr>
              <w:spacing w:after="0" w:line="240" w:lineRule="auto"/>
              <w:rPr>
                <w:rFonts w:hint="eastAsia" w:ascii="微软雅黑" w:hAnsi="微软雅黑" w:eastAsia="微软雅黑" w:cs="微软雅黑"/>
                <w:sz w:val="18"/>
                <w:szCs w:val="18"/>
              </w:rPr>
            </w:pPr>
          </w:p>
        </w:tc>
        <w:tc>
          <w:tcPr>
            <w:tcW w:w="423" w:type="pct"/>
            <w:vAlign w:val="center"/>
          </w:tcPr>
          <w:p>
            <w:pPr>
              <w:pStyle w:val="39"/>
              <w:jc w:val="center"/>
              <w:rPr>
                <w:rStyle w:val="20"/>
                <w:rFonts w:hint="eastAsia" w:ascii="微软雅黑" w:hAnsi="微软雅黑" w:eastAsia="微软雅黑" w:cs="微软雅黑"/>
                <w:b w:val="0"/>
                <w:bCs w:val="0"/>
                <w:color w:val="0F1115"/>
                <w:sz w:val="18"/>
                <w:szCs w:val="18"/>
              </w:rPr>
            </w:pPr>
            <w:r>
              <w:rPr>
                <w:rStyle w:val="20"/>
                <w:rFonts w:hint="eastAsia" w:ascii="微软雅黑" w:hAnsi="微软雅黑" w:eastAsia="微软雅黑" w:cs="微软雅黑"/>
                <w:b w:val="0"/>
                <w:bCs w:val="0"/>
                <w:color w:val="0F1115"/>
                <w:sz w:val="18"/>
                <w:szCs w:val="18"/>
              </w:rPr>
              <w:t>下午</w:t>
            </w:r>
          </w:p>
        </w:tc>
        <w:tc>
          <w:tcPr>
            <w:tcW w:w="2165" w:type="pct"/>
            <w:vAlign w:val="center"/>
          </w:tcPr>
          <w:p>
            <w:pPr>
              <w:pStyle w:val="39"/>
              <w:jc w:val="both"/>
              <w:rPr>
                <w:rFonts w:hint="eastAsia" w:ascii="微软雅黑" w:hAnsi="微软雅黑" w:eastAsia="微软雅黑" w:cs="微软雅黑"/>
                <w:b/>
                <w:bCs/>
                <w:color w:val="0F1115"/>
                <w:sz w:val="18"/>
                <w:szCs w:val="18"/>
              </w:rPr>
            </w:pPr>
            <w:r>
              <w:rPr>
                <w:rFonts w:hint="eastAsia" w:ascii="微软雅黑" w:hAnsi="微软雅黑" w:eastAsia="微软雅黑" w:cs="微软雅黑"/>
                <w:b/>
                <w:bCs/>
                <w:color w:val="0F1115"/>
                <w:sz w:val="18"/>
                <w:szCs w:val="18"/>
              </w:rPr>
              <w:t>医学科研</w:t>
            </w:r>
          </w:p>
          <w:p>
            <w:pPr>
              <w:pStyle w:val="39"/>
              <w:jc w:val="both"/>
              <w:rPr>
                <w:rFonts w:hint="eastAsia" w:ascii="微软雅黑" w:hAnsi="微软雅黑" w:eastAsia="微软雅黑" w:cs="微软雅黑"/>
                <w:color w:val="0F1115"/>
                <w:sz w:val="18"/>
                <w:szCs w:val="18"/>
              </w:rPr>
            </w:pPr>
            <w:r>
              <w:rPr>
                <w:rFonts w:hint="eastAsia" w:ascii="微软雅黑" w:hAnsi="微软雅黑" w:eastAsia="微软雅黑" w:cs="微软雅黑"/>
                <w:color w:val="0F1115"/>
                <w:sz w:val="18"/>
                <w:szCs w:val="18"/>
              </w:rPr>
              <w:t>• 患者登记研究导论</w:t>
            </w:r>
          </w:p>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color w:val="0F1115"/>
                <w:sz w:val="18"/>
                <w:szCs w:val="18"/>
              </w:rPr>
              <w:t>• 生物统计学导论</w:t>
            </w:r>
          </w:p>
        </w:tc>
        <w:tc>
          <w:tcPr>
            <w:tcW w:w="1491" w:type="pct"/>
            <w:vAlign w:val="center"/>
          </w:tcPr>
          <w:p>
            <w:pPr>
              <w:pStyle w:val="39"/>
              <w:jc w:val="both"/>
              <w:rPr>
                <w:rStyle w:val="20"/>
                <w:rFonts w:hint="eastAsia" w:ascii="微软雅黑" w:hAnsi="微软雅黑" w:eastAsia="微软雅黑" w:cs="微软雅黑"/>
                <w:b w:val="0"/>
                <w:bCs w:val="0"/>
                <w:color w:val="0F1115"/>
                <w:sz w:val="18"/>
                <w:szCs w:val="18"/>
              </w:rPr>
            </w:pPr>
            <w:r>
              <w:rPr>
                <w:rFonts w:hint="eastAsia" w:ascii="微软雅黑" w:hAnsi="微软雅黑" w:eastAsia="微软雅黑" w:cs="微软雅黑"/>
                <w:color w:val="0F1115"/>
                <w:sz w:val="18"/>
                <w:szCs w:val="18"/>
              </w:rPr>
              <w:t>了解患者登记研究的基本框架，掌握生物统计学和临床研究基础。</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continue"/>
            <w:vAlign w:val="center"/>
          </w:tcPr>
          <w:p>
            <w:pPr>
              <w:spacing w:after="0" w:line="480" w:lineRule="exact"/>
              <w:rPr>
                <w:rFonts w:hint="eastAsia" w:ascii="微软雅黑" w:hAnsi="微软雅黑" w:eastAsia="微软雅黑" w:cs="微软雅黑"/>
                <w:b w:val="0"/>
                <w:bCs w:val="0"/>
                <w:sz w:val="18"/>
                <w:szCs w:val="18"/>
              </w:rPr>
            </w:pPr>
          </w:p>
        </w:tc>
        <w:tc>
          <w:tcPr>
            <w:tcW w:w="460" w:type="pct"/>
            <w:vMerge w:val="restar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第三天</w:t>
            </w:r>
          </w:p>
        </w:tc>
        <w:tc>
          <w:tcPr>
            <w:tcW w:w="423" w:type="pct"/>
            <w:vAlign w:val="center"/>
          </w:tcPr>
          <w:p>
            <w:pPr>
              <w:pStyle w:val="39"/>
              <w:jc w:val="center"/>
              <w:rPr>
                <w:rFonts w:hint="eastAsia" w:ascii="微软雅黑" w:hAnsi="微软雅黑" w:eastAsia="微软雅黑" w:cs="微软雅黑"/>
                <w:sz w:val="18"/>
                <w:szCs w:val="18"/>
              </w:rPr>
            </w:pPr>
            <w:r>
              <w:rPr>
                <w:rStyle w:val="20"/>
                <w:rFonts w:hint="eastAsia" w:ascii="微软雅黑" w:hAnsi="微软雅黑" w:eastAsia="微软雅黑" w:cs="微软雅黑"/>
                <w:b w:val="0"/>
                <w:bCs w:val="0"/>
                <w:color w:val="0F1115"/>
                <w:sz w:val="18"/>
                <w:szCs w:val="18"/>
              </w:rPr>
              <w:t>上午</w:t>
            </w:r>
          </w:p>
        </w:tc>
        <w:tc>
          <w:tcPr>
            <w:tcW w:w="2165" w:type="pct"/>
            <w:vAlign w:val="center"/>
          </w:tcPr>
          <w:p>
            <w:pPr>
              <w:pStyle w:val="39"/>
              <w:jc w:val="both"/>
              <w:rPr>
                <w:rFonts w:hint="eastAsia" w:ascii="微软雅黑" w:hAnsi="微软雅黑" w:eastAsia="微软雅黑" w:cs="微软雅黑"/>
                <w:color w:val="0F1115"/>
                <w:sz w:val="18"/>
                <w:szCs w:val="18"/>
              </w:rPr>
            </w:pPr>
            <w:r>
              <w:rPr>
                <w:rFonts w:hint="eastAsia" w:ascii="微软雅黑" w:hAnsi="微软雅黑" w:eastAsia="微软雅黑" w:cs="微软雅黑"/>
                <w:b/>
                <w:bCs/>
                <w:color w:val="0F1115"/>
                <w:sz w:val="18"/>
                <w:szCs w:val="18"/>
              </w:rPr>
              <w:t>系统综述与研究设计方法</w:t>
            </w:r>
            <w:r>
              <w:rPr>
                <w:rFonts w:hint="eastAsia" w:ascii="微软雅黑" w:hAnsi="微软雅黑" w:eastAsia="微软雅黑" w:cs="微软雅黑"/>
                <w:b/>
                <w:bCs/>
                <w:color w:val="0F1115"/>
                <w:sz w:val="18"/>
                <w:szCs w:val="18"/>
              </w:rPr>
              <w:br w:type="textWrapping"/>
            </w:r>
            <w:r>
              <w:rPr>
                <w:rFonts w:hint="eastAsia" w:ascii="微软雅黑" w:hAnsi="微软雅黑" w:eastAsia="微软雅黑" w:cs="微软雅黑"/>
                <w:color w:val="0F1115"/>
                <w:sz w:val="18"/>
                <w:szCs w:val="18"/>
              </w:rPr>
              <w:t>• 系统综述与 Meta 分析导论</w:t>
            </w:r>
          </w:p>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color w:val="0F1115"/>
                <w:sz w:val="18"/>
                <w:szCs w:val="18"/>
              </w:rPr>
              <w:t>• 结构化数据采集方法</w:t>
            </w:r>
          </w:p>
        </w:tc>
        <w:tc>
          <w:tcPr>
            <w:tcW w:w="1491" w:type="pct"/>
            <w:vAlign w:val="center"/>
          </w:tcPr>
          <w:p>
            <w:pPr>
              <w:pStyle w:val="39"/>
              <w:jc w:val="both"/>
              <w:rPr>
                <w:rStyle w:val="20"/>
                <w:rFonts w:hint="eastAsia" w:ascii="微软雅黑" w:hAnsi="微软雅黑" w:eastAsia="微软雅黑" w:cs="微软雅黑"/>
                <w:b w:val="0"/>
                <w:bCs w:val="0"/>
                <w:color w:val="0F1115"/>
                <w:sz w:val="18"/>
                <w:szCs w:val="18"/>
              </w:rPr>
            </w:pPr>
            <w:r>
              <w:rPr>
                <w:rFonts w:hint="eastAsia" w:ascii="微软雅黑" w:hAnsi="微软雅黑" w:eastAsia="微软雅黑" w:cs="微软雅黑"/>
                <w:color w:val="0F1115"/>
                <w:sz w:val="18"/>
                <w:szCs w:val="18"/>
              </w:rPr>
              <w:t>掌握系统综述与 Meta 分析基础方法，熟悉数据采集。</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continue"/>
            <w:vAlign w:val="center"/>
          </w:tcPr>
          <w:p>
            <w:pPr>
              <w:spacing w:after="0" w:line="480" w:lineRule="exact"/>
              <w:rPr>
                <w:rFonts w:hint="eastAsia" w:ascii="微软雅黑" w:hAnsi="微软雅黑" w:eastAsia="微软雅黑" w:cs="微软雅黑"/>
                <w:b w:val="0"/>
                <w:bCs w:val="0"/>
                <w:sz w:val="18"/>
                <w:szCs w:val="18"/>
              </w:rPr>
            </w:pPr>
          </w:p>
        </w:tc>
        <w:tc>
          <w:tcPr>
            <w:tcW w:w="460" w:type="pct"/>
            <w:vMerge w:val="continue"/>
            <w:vAlign w:val="center"/>
          </w:tcPr>
          <w:p>
            <w:pPr>
              <w:spacing w:after="0" w:line="240" w:lineRule="auto"/>
              <w:rPr>
                <w:rFonts w:hint="eastAsia" w:ascii="微软雅黑" w:hAnsi="微软雅黑" w:eastAsia="微软雅黑" w:cs="微软雅黑"/>
                <w:sz w:val="18"/>
                <w:szCs w:val="18"/>
              </w:rPr>
            </w:pPr>
          </w:p>
        </w:tc>
        <w:tc>
          <w:tcPr>
            <w:tcW w:w="423" w:type="pct"/>
            <w:vAlign w:val="center"/>
          </w:tcPr>
          <w:p>
            <w:pPr>
              <w:pStyle w:val="39"/>
              <w:jc w:val="center"/>
              <w:rPr>
                <w:rFonts w:hint="eastAsia" w:ascii="微软雅黑" w:hAnsi="微软雅黑" w:eastAsia="微软雅黑" w:cs="微软雅黑"/>
                <w:sz w:val="18"/>
                <w:szCs w:val="18"/>
              </w:rPr>
            </w:pPr>
            <w:r>
              <w:rPr>
                <w:rStyle w:val="20"/>
                <w:rFonts w:hint="eastAsia" w:ascii="微软雅黑" w:hAnsi="微软雅黑" w:eastAsia="微软雅黑" w:cs="微软雅黑"/>
                <w:b w:val="0"/>
                <w:bCs w:val="0"/>
                <w:color w:val="0F1115"/>
                <w:sz w:val="18"/>
                <w:szCs w:val="18"/>
              </w:rPr>
              <w:t>下午</w:t>
            </w:r>
          </w:p>
        </w:tc>
        <w:tc>
          <w:tcPr>
            <w:tcW w:w="2165" w:type="pct"/>
            <w:vAlign w:val="center"/>
          </w:tcPr>
          <w:p>
            <w:pPr>
              <w:pStyle w:val="39"/>
              <w:jc w:val="both"/>
              <w:rPr>
                <w:rFonts w:hint="eastAsia" w:ascii="微软雅黑" w:hAnsi="微软雅黑" w:eastAsia="微软雅黑" w:cs="微软雅黑"/>
                <w:b/>
                <w:bCs/>
                <w:color w:val="0F1115"/>
                <w:sz w:val="18"/>
                <w:szCs w:val="18"/>
              </w:rPr>
            </w:pPr>
            <w:r>
              <w:rPr>
                <w:rFonts w:hint="eastAsia" w:ascii="微软雅黑" w:hAnsi="微软雅黑" w:eastAsia="微软雅黑" w:cs="微软雅黑"/>
                <w:b/>
                <w:bCs/>
                <w:color w:val="0F1115"/>
                <w:sz w:val="18"/>
                <w:szCs w:val="18"/>
              </w:rPr>
              <w:t>系统综述与 Meta 分析实践</w:t>
            </w:r>
          </w:p>
          <w:p>
            <w:pPr>
              <w:pStyle w:val="39"/>
              <w:jc w:val="both"/>
              <w:rPr>
                <w:rFonts w:hint="eastAsia" w:ascii="微软雅黑" w:hAnsi="微软雅黑" w:eastAsia="微软雅黑" w:cs="微软雅黑"/>
                <w:color w:val="0F1115"/>
                <w:sz w:val="18"/>
                <w:szCs w:val="18"/>
              </w:rPr>
            </w:pPr>
            <w:r>
              <w:rPr>
                <w:rFonts w:hint="eastAsia" w:ascii="微软雅黑" w:hAnsi="微软雅黑" w:eastAsia="微软雅黑" w:cs="微软雅黑"/>
                <w:color w:val="0F1115"/>
                <w:sz w:val="18"/>
                <w:szCs w:val="18"/>
              </w:rPr>
              <w:t>• 案例研讨</w:t>
            </w:r>
          </w:p>
          <w:p>
            <w:pPr>
              <w:pStyle w:val="39"/>
              <w:jc w:val="both"/>
              <w:rPr>
                <w:rFonts w:hint="eastAsia" w:ascii="微软雅黑" w:hAnsi="微软雅黑" w:eastAsia="微软雅黑" w:cs="微软雅黑"/>
                <w:b/>
                <w:bCs/>
                <w:color w:val="0F1115"/>
                <w:sz w:val="18"/>
                <w:szCs w:val="18"/>
              </w:rPr>
            </w:pPr>
            <w:r>
              <w:rPr>
                <w:rFonts w:hint="eastAsia" w:ascii="微软雅黑" w:hAnsi="微软雅黑" w:eastAsia="微软雅黑" w:cs="微软雅黑"/>
                <w:color w:val="0F1115"/>
                <w:sz w:val="18"/>
                <w:szCs w:val="18"/>
              </w:rPr>
              <w:t>• 研究设计练习</w:t>
            </w:r>
          </w:p>
        </w:tc>
        <w:tc>
          <w:tcPr>
            <w:tcW w:w="1491" w:type="pct"/>
            <w:vAlign w:val="center"/>
          </w:tcPr>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sz w:val="18"/>
                <w:szCs w:val="18"/>
              </w:rPr>
              <w:t>能独立设计系统综述与 Meta 分析方案，进行案例分析和研究评估。</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continue"/>
            <w:vAlign w:val="center"/>
          </w:tcPr>
          <w:p>
            <w:pPr>
              <w:spacing w:after="0" w:line="480" w:lineRule="exact"/>
              <w:rPr>
                <w:rFonts w:hint="eastAsia" w:ascii="微软雅黑" w:hAnsi="微软雅黑" w:eastAsia="微软雅黑" w:cs="微软雅黑"/>
                <w:b w:val="0"/>
                <w:bCs w:val="0"/>
                <w:sz w:val="18"/>
                <w:szCs w:val="18"/>
              </w:rPr>
            </w:pPr>
          </w:p>
        </w:tc>
        <w:tc>
          <w:tcPr>
            <w:tcW w:w="460" w:type="pct"/>
            <w:vMerge w:val="restar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第四天</w:t>
            </w:r>
          </w:p>
        </w:tc>
        <w:tc>
          <w:tcPr>
            <w:tcW w:w="423" w:type="pct"/>
            <w:vAlign w:val="center"/>
          </w:tcPr>
          <w:p>
            <w:pPr>
              <w:pStyle w:val="39"/>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上午</w:t>
            </w:r>
          </w:p>
        </w:tc>
        <w:tc>
          <w:tcPr>
            <w:tcW w:w="2165" w:type="pct"/>
            <w:vAlign w:val="center"/>
          </w:tcPr>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b/>
                <w:bCs/>
                <w:color w:val="0F1115"/>
                <w:sz w:val="18"/>
                <w:szCs w:val="18"/>
              </w:rPr>
              <w:t>患者登记研究与统计分析</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患者登记系统运行与管理</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患者纳入流程与标准</w:t>
            </w:r>
          </w:p>
        </w:tc>
        <w:tc>
          <w:tcPr>
            <w:tcW w:w="1491" w:type="pct"/>
            <w:vAlign w:val="center"/>
          </w:tcPr>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color w:val="0F1115"/>
                <w:sz w:val="18"/>
                <w:szCs w:val="18"/>
              </w:rPr>
              <w:t>掌握患者登记研究操作流程，能进行可行性分析及描述性和比较性统计分析。</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continue"/>
            <w:vAlign w:val="center"/>
          </w:tcPr>
          <w:p>
            <w:pPr>
              <w:spacing w:after="0" w:line="480" w:lineRule="exact"/>
              <w:rPr>
                <w:rFonts w:hint="eastAsia" w:ascii="微软雅黑" w:hAnsi="微软雅黑" w:eastAsia="微软雅黑" w:cs="微软雅黑"/>
                <w:b w:val="0"/>
                <w:bCs w:val="0"/>
                <w:sz w:val="18"/>
                <w:szCs w:val="18"/>
              </w:rPr>
            </w:pPr>
          </w:p>
        </w:tc>
        <w:tc>
          <w:tcPr>
            <w:tcW w:w="460" w:type="pct"/>
            <w:vMerge w:val="continue"/>
            <w:vAlign w:val="center"/>
          </w:tcPr>
          <w:p>
            <w:pPr>
              <w:spacing w:after="0" w:line="240" w:lineRule="auto"/>
              <w:jc w:val="center"/>
              <w:rPr>
                <w:rFonts w:hint="eastAsia" w:ascii="微软雅黑" w:hAnsi="微软雅黑" w:eastAsia="微软雅黑" w:cs="微软雅黑"/>
                <w:sz w:val="18"/>
                <w:szCs w:val="18"/>
              </w:rPr>
            </w:pPr>
          </w:p>
        </w:tc>
        <w:tc>
          <w:tcPr>
            <w:tcW w:w="423" w:type="pct"/>
            <w:vAlign w:val="center"/>
          </w:tcPr>
          <w:p>
            <w:pPr>
              <w:pStyle w:val="39"/>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下午</w:t>
            </w:r>
          </w:p>
        </w:tc>
        <w:tc>
          <w:tcPr>
            <w:tcW w:w="2165" w:type="pct"/>
            <w:vAlign w:val="center"/>
          </w:tcPr>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b/>
                <w:bCs/>
                <w:color w:val="0F1115"/>
                <w:sz w:val="18"/>
                <w:szCs w:val="18"/>
              </w:rPr>
              <w:t>数据分析实践</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患者登记研究数据分析案例实践</w:t>
            </w:r>
          </w:p>
        </w:tc>
        <w:tc>
          <w:tcPr>
            <w:tcW w:w="1491" w:type="pct"/>
            <w:vAlign w:val="center"/>
          </w:tcPr>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color w:val="0F1115"/>
                <w:sz w:val="18"/>
                <w:szCs w:val="18"/>
              </w:rPr>
              <w:t>通过实际数据分析提升统计分析能力，能形成初步研究结论。</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continue"/>
            <w:vAlign w:val="center"/>
          </w:tcPr>
          <w:p>
            <w:pPr>
              <w:spacing w:after="0" w:line="480" w:lineRule="exact"/>
              <w:rPr>
                <w:rFonts w:hint="eastAsia" w:ascii="微软雅黑" w:hAnsi="微软雅黑" w:eastAsia="微软雅黑" w:cs="微软雅黑"/>
                <w:b w:val="0"/>
                <w:bCs w:val="0"/>
                <w:sz w:val="18"/>
                <w:szCs w:val="18"/>
              </w:rPr>
            </w:pPr>
          </w:p>
        </w:tc>
        <w:tc>
          <w:tcPr>
            <w:tcW w:w="460" w:type="pct"/>
            <w:vMerge w:val="restar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第五天</w:t>
            </w:r>
          </w:p>
        </w:tc>
        <w:tc>
          <w:tcPr>
            <w:tcW w:w="423" w:type="pct"/>
            <w:vAlign w:val="center"/>
          </w:tcPr>
          <w:p>
            <w:pPr>
              <w:pStyle w:val="39"/>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上午</w:t>
            </w:r>
          </w:p>
        </w:tc>
        <w:tc>
          <w:tcPr>
            <w:tcW w:w="2165" w:type="pct"/>
            <w:vAlign w:val="center"/>
          </w:tcPr>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b/>
                <w:bCs/>
                <w:color w:val="0F1115"/>
                <w:sz w:val="18"/>
                <w:szCs w:val="18"/>
              </w:rPr>
              <w:t>医学研究统计方法</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医学研究中的数据类型</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描述性统计方法</w:t>
            </w:r>
          </w:p>
        </w:tc>
        <w:tc>
          <w:tcPr>
            <w:tcW w:w="1491" w:type="pct"/>
            <w:vAlign w:val="center"/>
          </w:tcPr>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color w:val="0F1115"/>
                <w:sz w:val="18"/>
                <w:szCs w:val="18"/>
              </w:rPr>
              <w:t>理解医学数据类型与统计方法，掌握不同检验方法选择与应用。</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continue"/>
            <w:vAlign w:val="center"/>
          </w:tcPr>
          <w:p>
            <w:pPr>
              <w:spacing w:after="0" w:line="480" w:lineRule="exact"/>
              <w:rPr>
                <w:rFonts w:hint="eastAsia" w:ascii="微软雅黑" w:hAnsi="微软雅黑" w:eastAsia="微软雅黑" w:cs="微软雅黑"/>
                <w:b w:val="0"/>
                <w:bCs w:val="0"/>
                <w:sz w:val="18"/>
                <w:szCs w:val="18"/>
              </w:rPr>
            </w:pPr>
          </w:p>
        </w:tc>
        <w:tc>
          <w:tcPr>
            <w:tcW w:w="460" w:type="pct"/>
            <w:vMerge w:val="continue"/>
            <w:vAlign w:val="center"/>
          </w:tcPr>
          <w:p>
            <w:pPr>
              <w:spacing w:after="0" w:line="240" w:lineRule="auto"/>
              <w:jc w:val="center"/>
              <w:rPr>
                <w:rFonts w:hint="eastAsia" w:ascii="微软雅黑" w:hAnsi="微软雅黑" w:eastAsia="微软雅黑" w:cs="微软雅黑"/>
                <w:sz w:val="18"/>
                <w:szCs w:val="18"/>
              </w:rPr>
            </w:pPr>
          </w:p>
        </w:tc>
        <w:tc>
          <w:tcPr>
            <w:tcW w:w="423" w:type="pct"/>
            <w:vAlign w:val="center"/>
          </w:tcPr>
          <w:p>
            <w:pPr>
              <w:pStyle w:val="39"/>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下午</w:t>
            </w:r>
          </w:p>
        </w:tc>
        <w:tc>
          <w:tcPr>
            <w:tcW w:w="2165" w:type="pct"/>
            <w:vAlign w:val="center"/>
          </w:tcPr>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b/>
                <w:bCs/>
                <w:color w:val="0F1115"/>
                <w:sz w:val="18"/>
                <w:szCs w:val="18"/>
              </w:rPr>
              <w:t>综合统计方法练习</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医学统计方法综合练习与结果解读</w:t>
            </w:r>
            <w:r>
              <w:rPr>
                <w:rFonts w:hint="eastAsia" w:ascii="微软雅黑" w:hAnsi="微软雅黑" w:eastAsia="微软雅黑" w:cs="微软雅黑"/>
                <w:sz w:val="18"/>
                <w:szCs w:val="18"/>
              </w:rPr>
              <w:t xml:space="preserve"> </w:t>
            </w:r>
          </w:p>
        </w:tc>
        <w:tc>
          <w:tcPr>
            <w:tcW w:w="1491" w:type="pct"/>
            <w:vAlign w:val="center"/>
          </w:tcPr>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color w:val="0F1115"/>
                <w:sz w:val="18"/>
                <w:szCs w:val="18"/>
              </w:rPr>
              <w:t>学员能够综合运用统计方法分析数据，并科学解读结果。</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continue"/>
            <w:vAlign w:val="center"/>
          </w:tcPr>
          <w:p>
            <w:pPr>
              <w:spacing w:after="0" w:line="480" w:lineRule="exact"/>
              <w:rPr>
                <w:rFonts w:hint="eastAsia" w:ascii="微软雅黑" w:hAnsi="微软雅黑" w:eastAsia="微软雅黑" w:cs="微软雅黑"/>
                <w:b w:val="0"/>
                <w:bCs w:val="0"/>
                <w:sz w:val="18"/>
                <w:szCs w:val="18"/>
              </w:rPr>
            </w:pPr>
          </w:p>
        </w:tc>
        <w:tc>
          <w:tcPr>
            <w:tcW w:w="460" w:type="pct"/>
            <w:vMerge w:val="restar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第六天</w:t>
            </w:r>
          </w:p>
        </w:tc>
        <w:tc>
          <w:tcPr>
            <w:tcW w:w="423" w:type="pct"/>
            <w:vAlign w:val="center"/>
          </w:tcPr>
          <w:p>
            <w:pPr>
              <w:pStyle w:val="39"/>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上午</w:t>
            </w:r>
          </w:p>
        </w:tc>
        <w:tc>
          <w:tcPr>
            <w:tcW w:w="2165" w:type="pct"/>
            <w:vAlign w:val="center"/>
          </w:tcPr>
          <w:p>
            <w:pPr>
              <w:pStyle w:val="39"/>
              <w:jc w:val="both"/>
              <w:rPr>
                <w:rFonts w:hint="eastAsia" w:ascii="微软雅黑" w:hAnsi="微软雅黑" w:eastAsia="微软雅黑" w:cs="微软雅黑"/>
                <w:color w:val="0F1115"/>
                <w:sz w:val="18"/>
                <w:szCs w:val="18"/>
              </w:rPr>
            </w:pPr>
            <w:r>
              <w:rPr>
                <w:rFonts w:hint="eastAsia" w:ascii="微软雅黑" w:hAnsi="微软雅黑" w:eastAsia="微软雅黑" w:cs="微软雅黑"/>
                <w:b/>
                <w:bCs/>
                <w:color w:val="0F1115"/>
                <w:sz w:val="18"/>
                <w:szCs w:val="18"/>
              </w:rPr>
              <w:t>医学数据分析与 Meta 方法</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相关性分析方法</w:t>
            </w:r>
          </w:p>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color w:val="0F1115"/>
                <w:sz w:val="18"/>
                <w:szCs w:val="18"/>
              </w:rPr>
              <w:t>• 医学数据分析方法</w:t>
            </w:r>
          </w:p>
        </w:tc>
        <w:tc>
          <w:tcPr>
            <w:tcW w:w="1491" w:type="pct"/>
            <w:vAlign w:val="center"/>
          </w:tcPr>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color w:val="0F1115"/>
                <w:sz w:val="18"/>
                <w:szCs w:val="18"/>
              </w:rPr>
              <w:t>掌握相关性分析与数据提取方法，能独立进行医学数据分析与结果解读。</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continue"/>
            <w:vAlign w:val="center"/>
          </w:tcPr>
          <w:p>
            <w:pPr>
              <w:spacing w:after="0" w:line="480" w:lineRule="exact"/>
              <w:rPr>
                <w:rFonts w:hint="eastAsia" w:ascii="微软雅黑" w:hAnsi="微软雅黑" w:eastAsia="微软雅黑" w:cs="微软雅黑"/>
                <w:b w:val="0"/>
                <w:bCs w:val="0"/>
                <w:sz w:val="18"/>
                <w:szCs w:val="18"/>
              </w:rPr>
            </w:pPr>
          </w:p>
        </w:tc>
        <w:tc>
          <w:tcPr>
            <w:tcW w:w="460" w:type="pct"/>
            <w:vMerge w:val="continue"/>
            <w:vAlign w:val="center"/>
          </w:tcPr>
          <w:p>
            <w:pPr>
              <w:spacing w:after="0" w:line="240" w:lineRule="auto"/>
              <w:rPr>
                <w:rFonts w:hint="eastAsia" w:ascii="微软雅黑" w:hAnsi="微软雅黑" w:eastAsia="微软雅黑" w:cs="微软雅黑"/>
                <w:sz w:val="18"/>
                <w:szCs w:val="18"/>
              </w:rPr>
            </w:pPr>
          </w:p>
        </w:tc>
        <w:tc>
          <w:tcPr>
            <w:tcW w:w="423" w:type="pct"/>
            <w:vAlign w:val="center"/>
          </w:tcPr>
          <w:p>
            <w:pPr>
              <w:pStyle w:val="39"/>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下午</w:t>
            </w:r>
          </w:p>
        </w:tc>
        <w:tc>
          <w:tcPr>
            <w:tcW w:w="2165" w:type="pct"/>
            <w:vAlign w:val="center"/>
          </w:tcPr>
          <w:p>
            <w:pPr>
              <w:pStyle w:val="39"/>
              <w:jc w:val="both"/>
              <w:rPr>
                <w:rFonts w:hint="eastAsia" w:ascii="微软雅黑" w:hAnsi="微软雅黑" w:eastAsia="微软雅黑" w:cs="微软雅黑"/>
                <w:sz w:val="18"/>
                <w:szCs w:val="18"/>
              </w:rPr>
            </w:pPr>
            <w:r>
              <w:rPr>
                <w:rStyle w:val="20"/>
                <w:rFonts w:hint="eastAsia" w:ascii="微软雅黑" w:hAnsi="微软雅黑" w:eastAsia="微软雅黑" w:cs="微软雅黑"/>
                <w:color w:val="0F1115"/>
                <w:sz w:val="18"/>
                <w:szCs w:val="18"/>
              </w:rPr>
              <w:t>小组项目展示与评审及总结</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项目答辩与深度点评</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课程内容总结与未来学习路径指导</w:t>
            </w:r>
          </w:p>
        </w:tc>
        <w:tc>
          <w:tcPr>
            <w:tcW w:w="1491" w:type="pct"/>
            <w:vAlign w:val="center"/>
          </w:tcPr>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color w:val="0F1115"/>
                <w:sz w:val="18"/>
                <w:szCs w:val="18"/>
              </w:rPr>
              <w:t>提升学术表达与答辩能力，获得针对性反馈，明确后续发展方向。</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continue"/>
            <w:vAlign w:val="center"/>
          </w:tcPr>
          <w:p>
            <w:pPr>
              <w:spacing w:after="0" w:line="480" w:lineRule="exact"/>
              <w:rPr>
                <w:rFonts w:hint="eastAsia" w:ascii="微软雅黑" w:hAnsi="微软雅黑" w:eastAsia="微软雅黑" w:cs="微软雅黑"/>
                <w:b w:val="0"/>
                <w:bCs w:val="0"/>
                <w:sz w:val="18"/>
                <w:szCs w:val="18"/>
              </w:rPr>
            </w:pPr>
          </w:p>
        </w:tc>
        <w:tc>
          <w:tcPr>
            <w:tcW w:w="460" w:type="pc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第七天</w:t>
            </w:r>
          </w:p>
        </w:tc>
        <w:tc>
          <w:tcPr>
            <w:tcW w:w="423" w:type="pct"/>
            <w:vAlign w:val="center"/>
          </w:tcPr>
          <w:p>
            <w:pPr>
              <w:pStyle w:val="39"/>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全天</w:t>
            </w:r>
          </w:p>
        </w:tc>
        <w:tc>
          <w:tcPr>
            <w:tcW w:w="3656" w:type="pct"/>
            <w:gridSpan w:val="2"/>
            <w:vAlign w:val="center"/>
          </w:tcPr>
          <w:p>
            <w:pPr>
              <w:pStyle w:val="39"/>
              <w:jc w:val="both"/>
              <w:rPr>
                <w:rFonts w:hint="eastAsia" w:ascii="微软雅黑" w:hAnsi="微软雅黑" w:eastAsia="微软雅黑" w:cs="微软雅黑"/>
                <w:color w:val="0F1115"/>
                <w:sz w:val="18"/>
                <w:szCs w:val="18"/>
              </w:rPr>
            </w:pPr>
            <w:r>
              <w:rPr>
                <w:rStyle w:val="20"/>
                <w:rFonts w:hint="eastAsia" w:ascii="微软雅黑" w:hAnsi="微软雅黑" w:eastAsia="微软雅黑" w:cs="微软雅黑"/>
                <w:b w:val="0"/>
                <w:bCs w:val="0"/>
                <w:color w:val="0F1115"/>
                <w:sz w:val="18"/>
                <w:szCs w:val="18"/>
              </w:rPr>
              <w:t>自由研修，城市文化探索</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7" w:hRule="atLeast"/>
        </w:trPr>
        <w:tc>
          <w:tcPr>
            <w:tcW w:w="461" w:type="pct"/>
            <w:vMerge w:val="continue"/>
            <w:vAlign w:val="center"/>
          </w:tcPr>
          <w:p>
            <w:pPr>
              <w:spacing w:after="0" w:line="480" w:lineRule="exact"/>
              <w:rPr>
                <w:rFonts w:hint="eastAsia" w:ascii="微软雅黑" w:hAnsi="微软雅黑" w:eastAsia="微软雅黑" w:cs="微软雅黑"/>
                <w:b w:val="0"/>
                <w:bCs w:val="0"/>
                <w:sz w:val="18"/>
                <w:szCs w:val="18"/>
              </w:rPr>
            </w:pPr>
          </w:p>
        </w:tc>
        <w:tc>
          <w:tcPr>
            <w:tcW w:w="460" w:type="pc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第八天</w:t>
            </w:r>
          </w:p>
        </w:tc>
        <w:tc>
          <w:tcPr>
            <w:tcW w:w="423" w:type="pct"/>
            <w:vAlign w:val="center"/>
          </w:tcPr>
          <w:p>
            <w:pPr>
              <w:pStyle w:val="39"/>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全天</w:t>
            </w:r>
          </w:p>
        </w:tc>
        <w:tc>
          <w:tcPr>
            <w:tcW w:w="3656" w:type="pct"/>
            <w:gridSpan w:val="2"/>
            <w:vAlign w:val="center"/>
          </w:tcPr>
          <w:p>
            <w:pPr>
              <w:pStyle w:val="39"/>
              <w:jc w:val="both"/>
              <w:rPr>
                <w:rFonts w:hint="eastAsia" w:ascii="微软雅黑" w:hAnsi="微软雅黑" w:eastAsia="微软雅黑" w:cs="微软雅黑"/>
                <w:color w:val="0F1115"/>
                <w:sz w:val="18"/>
                <w:szCs w:val="18"/>
              </w:rPr>
            </w:pPr>
            <w:r>
              <w:rPr>
                <w:rStyle w:val="20"/>
                <w:rFonts w:hint="eastAsia" w:ascii="微软雅黑" w:hAnsi="微软雅黑" w:eastAsia="微软雅黑" w:cs="微软雅黑"/>
                <w:b w:val="0"/>
                <w:bCs w:val="0"/>
                <w:color w:val="0F1115"/>
                <w:sz w:val="18"/>
                <w:szCs w:val="18"/>
              </w:rPr>
              <w:t>自由研修，城市文化探索</w:t>
            </w:r>
          </w:p>
        </w:tc>
      </w:tr>
    </w:tbl>
    <w:p>
      <w:pPr>
        <w:rPr>
          <w:rFonts w:hint="eastAsia" w:ascii="微软雅黑" w:hAnsi="微软雅黑" w:eastAsia="微软雅黑" w:cs="微软雅黑"/>
          <w:color w:val="002060"/>
          <w:sz w:val="20"/>
          <w:szCs w:val="20"/>
        </w:rPr>
      </w:pPr>
      <w:r>
        <w:rPr>
          <w:rFonts w:hint="eastAsia" w:ascii="微软雅黑" w:hAnsi="微软雅黑" w:eastAsia="微软雅黑" w:cs="微软雅黑"/>
          <w:color w:val="002060"/>
          <w:sz w:val="20"/>
          <w:szCs w:val="20"/>
        </w:rPr>
        <w:t>※以上课程由塞梅维什大学提供，课程大纲及日程安排以学校最终版本为准。</w:t>
      </w:r>
    </w:p>
    <w:p>
      <w:pPr>
        <w:rPr>
          <w:rFonts w:hint="eastAsia" w:ascii="微软雅黑" w:hAnsi="微软雅黑" w:eastAsia="微软雅黑" w:cs="微软雅黑"/>
          <w:color w:val="002060"/>
          <w:sz w:val="20"/>
          <w:szCs w:val="20"/>
        </w:rPr>
      </w:pPr>
    </w:p>
    <w:tbl>
      <w:tblPr>
        <w:tblStyle w:val="46"/>
        <w:tblW w:w="4970" w:type="pct"/>
        <w:tblInd w:w="0" w:type="dxa"/>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Layout w:type="autofit"/>
        <w:tblCellMar>
          <w:top w:w="0" w:type="dxa"/>
          <w:left w:w="108" w:type="dxa"/>
          <w:bottom w:w="0" w:type="dxa"/>
          <w:right w:w="108" w:type="dxa"/>
        </w:tblCellMar>
      </w:tblPr>
      <w:tblGrid>
        <w:gridCol w:w="755"/>
        <w:gridCol w:w="1008"/>
        <w:gridCol w:w="828"/>
        <w:gridCol w:w="4178"/>
        <w:gridCol w:w="2885"/>
      </w:tblGrid>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499" w:hRule="atLeast"/>
        </w:trPr>
        <w:tc>
          <w:tcPr>
            <w:tcW w:w="5000" w:type="pct"/>
            <w:gridSpan w:val="5"/>
            <w:tcBorders>
              <w:top w:val="nil"/>
              <w:left w:val="nil"/>
              <w:bottom w:val="nil"/>
              <w:right w:val="nil"/>
              <w:insideV w:val="nil"/>
            </w:tcBorders>
            <w:shd w:val="clear" w:color="auto" w:fill="232F62"/>
            <w:vAlign w:val="center"/>
          </w:tcPr>
          <w:p>
            <w:pPr>
              <w:spacing w:after="0" w:line="480" w:lineRule="exact"/>
              <w:jc w:val="center"/>
              <w:rPr>
                <w:rFonts w:hint="eastAsia" w:ascii="微软雅黑" w:hAnsi="微软雅黑" w:eastAsia="微软雅黑" w:cs="微软雅黑"/>
                <w:b w:val="0"/>
                <w:bCs w:val="0"/>
                <w:color w:val="FFFFFF" w:themeColor="background1"/>
                <w:sz w:val="21"/>
                <w:szCs w:val="21"/>
                <w14:textFill>
                  <w14:solidFill>
                    <w14:schemeClr w14:val="bg1"/>
                  </w14:solidFill>
                </w14:textFill>
              </w:rPr>
            </w:pPr>
            <w:r>
              <w:rPr>
                <w:rFonts w:hint="eastAsia" w:ascii="微软雅黑" w:hAnsi="微软雅黑" w:eastAsia="微软雅黑" w:cs="微软雅黑"/>
                <w:b/>
                <w:bCs/>
                <w:color w:val="FFFFFF" w:themeColor="background1"/>
                <w:sz w:val="21"/>
                <w:szCs w:val="21"/>
                <w14:textFill>
                  <w14:solidFill>
                    <w14:schemeClr w14:val="bg1"/>
                  </w14:solidFill>
                </w14:textFill>
              </w:rPr>
              <w:t>第二部分：多科室医学见习模块</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509" w:hRule="atLeast"/>
        </w:trPr>
        <w:tc>
          <w:tcPr>
            <w:tcW w:w="391" w:type="pct"/>
            <w:shd w:val="clear" w:color="auto" w:fill="E3D596"/>
            <w:vAlign w:val="center"/>
          </w:tcPr>
          <w:p>
            <w:pPr>
              <w:spacing w:after="0" w:line="480" w:lineRule="exact"/>
              <w:jc w:val="center"/>
              <w:rPr>
                <w:rFonts w:hint="eastAsia" w:ascii="微软雅黑" w:hAnsi="微软雅黑" w:eastAsia="微软雅黑" w:cs="微软雅黑"/>
                <w:b w:val="0"/>
                <w:bCs w:val="0"/>
                <w:sz w:val="21"/>
                <w:szCs w:val="21"/>
              </w:rPr>
            </w:pPr>
            <w:r>
              <w:rPr>
                <w:rFonts w:hint="eastAsia" w:ascii="微软雅黑" w:hAnsi="微软雅黑" w:eastAsia="微软雅黑" w:cs="微软雅黑"/>
                <w:b/>
                <w:bCs/>
                <w:sz w:val="21"/>
                <w:szCs w:val="21"/>
              </w:rPr>
              <w:t>周数</w:t>
            </w:r>
          </w:p>
        </w:tc>
        <w:tc>
          <w:tcPr>
            <w:tcW w:w="522" w:type="pct"/>
            <w:shd w:val="clear" w:color="auto" w:fill="E3D596"/>
            <w:vAlign w:val="center"/>
          </w:tcPr>
          <w:p>
            <w:pPr>
              <w:spacing w:after="0" w:line="480" w:lineRule="exact"/>
              <w:jc w:val="center"/>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天数</w:t>
            </w:r>
          </w:p>
        </w:tc>
        <w:tc>
          <w:tcPr>
            <w:tcW w:w="429" w:type="pct"/>
            <w:shd w:val="clear" w:color="auto" w:fill="E3D596"/>
            <w:vAlign w:val="center"/>
          </w:tcPr>
          <w:p>
            <w:pPr>
              <w:spacing w:after="0" w:line="480" w:lineRule="exact"/>
              <w:jc w:val="center"/>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时间</w:t>
            </w:r>
          </w:p>
        </w:tc>
        <w:tc>
          <w:tcPr>
            <w:tcW w:w="2164" w:type="pct"/>
            <w:shd w:val="clear" w:color="auto" w:fill="E3D596"/>
            <w:vAlign w:val="center"/>
          </w:tcPr>
          <w:p>
            <w:pPr>
              <w:spacing w:after="0" w:line="480" w:lineRule="exact"/>
              <w:jc w:val="center"/>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见习科室与详细内容</w:t>
            </w:r>
          </w:p>
        </w:tc>
        <w:tc>
          <w:tcPr>
            <w:tcW w:w="1491" w:type="pct"/>
            <w:shd w:val="clear" w:color="auto" w:fill="E3D596"/>
            <w:vAlign w:val="center"/>
          </w:tcPr>
          <w:p>
            <w:pPr>
              <w:spacing w:after="0" w:line="480" w:lineRule="exact"/>
              <w:jc w:val="center"/>
              <w:rPr>
                <w:rFonts w:hint="eastAsia" w:ascii="微软雅黑" w:hAnsi="微软雅黑" w:eastAsia="微软雅黑" w:cs="微软雅黑"/>
                <w:b/>
                <w:bCs/>
                <w:sz w:val="21"/>
                <w:szCs w:val="21"/>
              </w:rPr>
            </w:pPr>
            <w:r>
              <w:rPr>
                <w:rFonts w:hint="eastAsia" w:ascii="微软雅黑" w:hAnsi="微软雅黑" w:eastAsia="微软雅黑" w:cs="微软雅黑"/>
                <w:b/>
                <w:bCs/>
                <w:sz w:val="21"/>
                <w:szCs w:val="21"/>
              </w:rPr>
              <w:t>学习目标与专业能力提升</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679" w:hRule="atLeast"/>
        </w:trPr>
        <w:tc>
          <w:tcPr>
            <w:tcW w:w="391" w:type="pct"/>
            <w:vMerge w:val="restart"/>
            <w:vAlign w:val="center"/>
          </w:tcPr>
          <w:p>
            <w:pPr>
              <w:spacing w:after="0" w:line="480" w:lineRule="exact"/>
              <w:jc w:val="center"/>
              <w:rPr>
                <w:rFonts w:hint="eastAsia" w:ascii="微软雅黑" w:hAnsi="微软雅黑" w:eastAsia="微软雅黑" w:cs="微软雅黑"/>
                <w:b/>
                <w:bCs/>
                <w:sz w:val="21"/>
                <w:szCs w:val="21"/>
              </w:rPr>
            </w:pPr>
            <w:r>
              <w:rPr>
                <w:rFonts w:hint="eastAsia" w:ascii="微软雅黑" w:hAnsi="微软雅黑" w:eastAsia="微软雅黑" w:cs="微软雅黑"/>
                <w:b w:val="0"/>
                <w:bCs w:val="0"/>
                <w:sz w:val="21"/>
                <w:szCs w:val="21"/>
              </w:rPr>
              <w:t>第二周</w:t>
            </w:r>
          </w:p>
        </w:tc>
        <w:tc>
          <w:tcPr>
            <w:tcW w:w="522" w:type="pc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第九天</w:t>
            </w:r>
          </w:p>
        </w:tc>
        <w:tc>
          <w:tcPr>
            <w:tcW w:w="429" w:type="pct"/>
            <w:vAlign w:val="center"/>
          </w:tcPr>
          <w:p>
            <w:pPr>
              <w:pStyle w:val="39"/>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全天</w:t>
            </w:r>
          </w:p>
        </w:tc>
        <w:tc>
          <w:tcPr>
            <w:tcW w:w="2164" w:type="pct"/>
          </w:tcPr>
          <w:p>
            <w:pPr>
              <w:pStyle w:val="39"/>
              <w:jc w:val="both"/>
              <w:rPr>
                <w:rFonts w:hint="eastAsia" w:ascii="微软雅黑" w:hAnsi="微软雅黑" w:eastAsia="微软雅黑" w:cs="微软雅黑"/>
                <w:sz w:val="18"/>
                <w:szCs w:val="18"/>
              </w:rPr>
            </w:pPr>
            <w:r>
              <w:rPr>
                <w:rStyle w:val="20"/>
                <w:rFonts w:hint="eastAsia" w:ascii="微软雅黑" w:hAnsi="微软雅黑" w:eastAsia="微软雅黑" w:cs="微软雅黑"/>
                <w:color w:val="0F1115"/>
                <w:sz w:val="18"/>
                <w:szCs w:val="18"/>
              </w:rPr>
              <w:t>见习一：外科、移植与胃肠病学中心</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重症监护室（ICU）参访：学习术后重症监护与管理流程</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门诊观摩：学习患者接诊、初步诊断与治疗方案制定</w:t>
            </w:r>
            <w:r>
              <w:rPr>
                <w:rFonts w:hint="eastAsia" w:ascii="微软雅黑" w:hAnsi="微软雅黑" w:eastAsia="微软雅黑" w:cs="微软雅黑"/>
                <w:color w:val="0F1115"/>
                <w:sz w:val="18"/>
                <w:szCs w:val="18"/>
              </w:rPr>
              <w:br w:type="textWrapping"/>
            </w:r>
            <w:r>
              <w:rPr>
                <w:rFonts w:hint="eastAsia" w:ascii="微软雅黑" w:hAnsi="微软雅黑" w:eastAsia="微软雅黑" w:cs="微软雅黑"/>
                <w:color w:val="0F1115"/>
                <w:sz w:val="18"/>
                <w:szCs w:val="18"/>
              </w:rPr>
              <w:t>• 手术室导览：了解高洁净度环境控制与手术团队协作模式</w:t>
            </w:r>
          </w:p>
        </w:tc>
        <w:tc>
          <w:tcPr>
            <w:tcW w:w="1491" w:type="pct"/>
            <w:vAlign w:val="center"/>
          </w:tcPr>
          <w:p>
            <w:pPr>
              <w:pStyle w:val="39"/>
              <w:jc w:val="both"/>
              <w:rPr>
                <w:rFonts w:hint="eastAsia" w:ascii="微软雅黑" w:hAnsi="微软雅黑" w:eastAsia="微软雅黑" w:cs="微软雅黑"/>
                <w:sz w:val="18"/>
                <w:szCs w:val="18"/>
              </w:rPr>
            </w:pPr>
            <w:r>
              <w:rPr>
                <w:rFonts w:hint="eastAsia" w:ascii="微软雅黑" w:hAnsi="微软雅黑" w:eastAsia="微软雅黑" w:cs="微软雅黑"/>
                <w:color w:val="0F1115"/>
                <w:sz w:val="18"/>
                <w:szCs w:val="18"/>
              </w:rPr>
              <w:t>直观了解外科系统运作全貌，学习围术期关键管理节点与多学科协作（MDT）模式。</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2352" w:hRule="atLeast"/>
        </w:trPr>
        <w:tc>
          <w:tcPr>
            <w:tcW w:w="391" w:type="pct"/>
            <w:vMerge w:val="continue"/>
          </w:tcPr>
          <w:p>
            <w:pPr>
              <w:spacing w:after="0" w:line="480" w:lineRule="exact"/>
              <w:jc w:val="center"/>
              <w:rPr>
                <w:rFonts w:hint="eastAsia" w:ascii="微软雅黑" w:hAnsi="微软雅黑" w:eastAsia="微软雅黑" w:cs="微软雅黑"/>
                <w:b/>
                <w:bCs/>
                <w:sz w:val="21"/>
                <w:szCs w:val="21"/>
              </w:rPr>
            </w:pPr>
          </w:p>
        </w:tc>
        <w:tc>
          <w:tcPr>
            <w:tcW w:w="522" w:type="pc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第十天</w:t>
            </w:r>
          </w:p>
        </w:tc>
        <w:tc>
          <w:tcPr>
            <w:tcW w:w="429" w:type="pct"/>
            <w:vAlign w:val="center"/>
          </w:tcPr>
          <w:p>
            <w:pPr>
              <w:pStyle w:val="39"/>
              <w:jc w:val="center"/>
              <w:rPr>
                <w:rFonts w:hint="eastAsia" w:ascii="微软雅黑" w:hAnsi="微软雅黑" w:eastAsia="微软雅黑" w:cs="微软雅黑"/>
                <w:sz w:val="18"/>
                <w:szCs w:val="18"/>
                <w:shd w:val="clear" w:color="auto" w:fill="auto"/>
              </w:rPr>
            </w:pPr>
            <w:r>
              <w:rPr>
                <w:rFonts w:hint="eastAsia" w:ascii="微软雅黑" w:hAnsi="微软雅黑" w:eastAsia="微软雅黑" w:cs="微软雅黑"/>
                <w:sz w:val="18"/>
                <w:szCs w:val="18"/>
                <w:shd w:val="clear" w:color="auto" w:fill="auto"/>
              </w:rPr>
              <w:t>全天</w:t>
            </w:r>
          </w:p>
        </w:tc>
        <w:tc>
          <w:tcPr>
            <w:tcW w:w="2164" w:type="pct"/>
          </w:tcPr>
          <w:p>
            <w:pPr>
              <w:pStyle w:val="39"/>
              <w:jc w:val="both"/>
              <w:rPr>
                <w:rFonts w:hint="eastAsia" w:ascii="微软雅黑" w:hAnsi="微软雅黑" w:eastAsia="微软雅黑" w:cs="微软雅黑"/>
                <w:sz w:val="18"/>
                <w:szCs w:val="18"/>
                <w:shd w:val="clear" w:color="auto" w:fill="auto"/>
              </w:rPr>
            </w:pPr>
            <w:r>
              <w:rPr>
                <w:rStyle w:val="20"/>
                <w:rFonts w:hint="eastAsia" w:ascii="微软雅黑" w:hAnsi="微软雅黑" w:eastAsia="微软雅黑" w:cs="微软雅黑"/>
                <w:color w:val="0F1115"/>
                <w:sz w:val="18"/>
                <w:szCs w:val="18"/>
                <w:shd w:val="clear" w:color="auto" w:fill="auto"/>
              </w:rPr>
              <w:t>见习二：外科、移植与胃肠病学中心（深入）</w:t>
            </w:r>
            <w:r>
              <w:rPr>
                <w:rFonts w:hint="eastAsia" w:ascii="微软雅黑" w:hAnsi="微软雅黑" w:eastAsia="微软雅黑" w:cs="微软雅黑"/>
                <w:color w:val="0F1115"/>
                <w:sz w:val="18"/>
                <w:szCs w:val="18"/>
                <w:shd w:val="clear" w:color="auto" w:fill="auto"/>
              </w:rPr>
              <w:br w:type="textWrapping"/>
            </w:r>
            <w:r>
              <w:rPr>
                <w:rFonts w:hint="eastAsia" w:ascii="微软雅黑" w:hAnsi="微软雅黑" w:eastAsia="微软雅黑" w:cs="微软雅黑"/>
                <w:color w:val="0F1115"/>
                <w:sz w:val="18"/>
                <w:szCs w:val="18"/>
                <w:shd w:val="clear" w:color="auto" w:fill="auto"/>
              </w:rPr>
              <w:t>• 科室联合查房与疑难病例会诊：分析复杂病例的诊疗逻辑</w:t>
            </w:r>
            <w:r>
              <w:rPr>
                <w:rFonts w:hint="eastAsia" w:ascii="微软雅黑" w:hAnsi="微软雅黑" w:eastAsia="微软雅黑" w:cs="微软雅黑"/>
                <w:color w:val="0F1115"/>
                <w:sz w:val="18"/>
                <w:szCs w:val="18"/>
                <w:shd w:val="clear" w:color="auto" w:fill="auto"/>
              </w:rPr>
              <w:br w:type="textWrapping"/>
            </w:r>
            <w:r>
              <w:rPr>
                <w:rFonts w:hint="eastAsia" w:ascii="微软雅黑" w:hAnsi="微软雅黑" w:eastAsia="微软雅黑" w:cs="微软雅黑"/>
                <w:color w:val="0F1115"/>
                <w:sz w:val="18"/>
                <w:szCs w:val="18"/>
                <w:shd w:val="clear" w:color="auto" w:fill="auto"/>
              </w:rPr>
              <w:t>• 手术观摩（根据排期）：实地观察微创或移植手术操作</w:t>
            </w:r>
            <w:r>
              <w:rPr>
                <w:rFonts w:hint="eastAsia" w:ascii="微软雅黑" w:hAnsi="微软雅黑" w:eastAsia="微软雅黑" w:cs="微软雅黑"/>
                <w:color w:val="0F1115"/>
                <w:sz w:val="18"/>
                <w:szCs w:val="18"/>
                <w:shd w:val="clear" w:color="auto" w:fill="auto"/>
              </w:rPr>
              <w:br w:type="textWrapping"/>
            </w:r>
            <w:r>
              <w:rPr>
                <w:rFonts w:hint="eastAsia" w:ascii="微软雅黑" w:hAnsi="微软雅黑" w:eastAsia="微软雅黑" w:cs="微软雅黑"/>
                <w:color w:val="0F1115"/>
                <w:sz w:val="18"/>
                <w:szCs w:val="18"/>
                <w:shd w:val="clear" w:color="auto" w:fill="auto"/>
              </w:rPr>
              <w:t>• 术后护理单元学习：了解患者康复流程与并发症管理</w:t>
            </w:r>
          </w:p>
        </w:tc>
        <w:tc>
          <w:tcPr>
            <w:tcW w:w="1491" w:type="pct"/>
            <w:vAlign w:val="center"/>
          </w:tcPr>
          <w:p>
            <w:pPr>
              <w:spacing w:after="0" w:line="240" w:lineRule="auto"/>
              <w:jc w:val="both"/>
              <w:rPr>
                <w:rFonts w:hint="eastAsia" w:ascii="微软雅黑" w:hAnsi="微软雅黑" w:eastAsia="微软雅黑" w:cs="微软雅黑"/>
                <w:sz w:val="18"/>
                <w:szCs w:val="18"/>
              </w:rPr>
            </w:pPr>
            <w:r>
              <w:rPr>
                <w:rFonts w:hint="eastAsia" w:ascii="微软雅黑" w:hAnsi="微软雅黑" w:eastAsia="微软雅黑" w:cs="微软雅黑"/>
                <w:color w:val="0F1115"/>
                <w:sz w:val="18"/>
                <w:szCs w:val="18"/>
              </w:rPr>
              <w:t>深度参与临床思维训练，理解从诊断到治疗再到康复的连续医疗过程。</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2017" w:hRule="atLeast"/>
        </w:trPr>
        <w:tc>
          <w:tcPr>
            <w:tcW w:w="391" w:type="pct"/>
            <w:vMerge w:val="continue"/>
          </w:tcPr>
          <w:p>
            <w:pPr>
              <w:spacing w:after="0" w:line="480" w:lineRule="exact"/>
              <w:jc w:val="center"/>
              <w:rPr>
                <w:rFonts w:hint="eastAsia" w:ascii="微软雅黑" w:hAnsi="微软雅黑" w:eastAsia="微软雅黑" w:cs="微软雅黑"/>
                <w:b/>
                <w:bCs/>
                <w:sz w:val="21"/>
                <w:szCs w:val="21"/>
              </w:rPr>
            </w:pPr>
          </w:p>
        </w:tc>
        <w:tc>
          <w:tcPr>
            <w:tcW w:w="522" w:type="pc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第十一天</w:t>
            </w:r>
          </w:p>
        </w:tc>
        <w:tc>
          <w:tcPr>
            <w:tcW w:w="429" w:type="pct"/>
            <w:vAlign w:val="center"/>
          </w:tcPr>
          <w:p>
            <w:pPr>
              <w:pStyle w:val="39"/>
              <w:jc w:val="center"/>
              <w:rPr>
                <w:rFonts w:hint="eastAsia" w:ascii="微软雅黑" w:hAnsi="微软雅黑" w:eastAsia="微软雅黑" w:cs="微软雅黑"/>
                <w:sz w:val="18"/>
                <w:szCs w:val="18"/>
                <w:shd w:val="clear" w:color="auto" w:fill="auto"/>
              </w:rPr>
            </w:pPr>
            <w:r>
              <w:rPr>
                <w:rFonts w:hint="eastAsia" w:ascii="微软雅黑" w:hAnsi="微软雅黑" w:eastAsia="微软雅黑" w:cs="微软雅黑"/>
                <w:sz w:val="18"/>
                <w:szCs w:val="18"/>
                <w:shd w:val="clear" w:color="auto" w:fill="auto"/>
              </w:rPr>
              <w:t>全天</w:t>
            </w:r>
          </w:p>
        </w:tc>
        <w:tc>
          <w:tcPr>
            <w:tcW w:w="2164" w:type="pct"/>
          </w:tcPr>
          <w:p>
            <w:pPr>
              <w:pStyle w:val="39"/>
              <w:jc w:val="both"/>
              <w:rPr>
                <w:rFonts w:hint="eastAsia" w:ascii="微软雅黑" w:hAnsi="微软雅黑" w:eastAsia="微软雅黑" w:cs="微软雅黑"/>
                <w:sz w:val="18"/>
                <w:szCs w:val="18"/>
                <w:shd w:val="clear" w:color="auto" w:fill="auto"/>
              </w:rPr>
            </w:pPr>
            <w:r>
              <w:rPr>
                <w:rStyle w:val="20"/>
                <w:rFonts w:hint="eastAsia" w:ascii="微软雅黑" w:hAnsi="微软雅黑" w:eastAsia="微软雅黑" w:cs="微软雅黑"/>
                <w:color w:val="0F1115"/>
                <w:sz w:val="18"/>
                <w:szCs w:val="18"/>
                <w:shd w:val="clear" w:color="auto" w:fill="auto"/>
              </w:rPr>
              <w:t>见习三：心脏与血管中心</w:t>
            </w:r>
            <w:r>
              <w:rPr>
                <w:rFonts w:hint="eastAsia" w:ascii="微软雅黑" w:hAnsi="微软雅黑" w:eastAsia="微软雅黑" w:cs="微软雅黑"/>
                <w:color w:val="0F1115"/>
                <w:sz w:val="18"/>
                <w:szCs w:val="18"/>
                <w:shd w:val="clear" w:color="auto" w:fill="auto"/>
              </w:rPr>
              <w:br w:type="textWrapping"/>
            </w:r>
            <w:r>
              <w:rPr>
                <w:rFonts w:hint="eastAsia" w:ascii="微软雅黑" w:hAnsi="微软雅黑" w:eastAsia="微软雅黑" w:cs="微软雅黑"/>
                <w:color w:val="0F1115"/>
                <w:sz w:val="18"/>
                <w:szCs w:val="18"/>
                <w:shd w:val="clear" w:color="auto" w:fill="auto"/>
              </w:rPr>
              <w:t>• 门诊见习：学习心血管疾病问诊与风险评估</w:t>
            </w:r>
            <w:r>
              <w:rPr>
                <w:rFonts w:hint="eastAsia" w:ascii="微软雅黑" w:hAnsi="微软雅黑" w:eastAsia="微软雅黑" w:cs="微软雅黑"/>
                <w:color w:val="0F1115"/>
                <w:sz w:val="18"/>
                <w:szCs w:val="18"/>
                <w:shd w:val="clear" w:color="auto" w:fill="auto"/>
              </w:rPr>
              <w:br w:type="textWrapping"/>
            </w:r>
            <w:r>
              <w:rPr>
                <w:rFonts w:hint="eastAsia" w:ascii="微软雅黑" w:hAnsi="微软雅黑" w:eastAsia="微软雅黑" w:cs="微软雅黑"/>
                <w:color w:val="0F1115"/>
                <w:sz w:val="18"/>
                <w:szCs w:val="18"/>
                <w:shd w:val="clear" w:color="auto" w:fill="auto"/>
              </w:rPr>
              <w:t>• 急诊室流程观察：了解胸痛等急症的快速分诊与处理路径</w:t>
            </w:r>
            <w:r>
              <w:rPr>
                <w:rFonts w:hint="eastAsia" w:ascii="微软雅黑" w:hAnsi="微软雅黑" w:eastAsia="微软雅黑" w:cs="微软雅黑"/>
                <w:color w:val="0F1115"/>
                <w:sz w:val="18"/>
                <w:szCs w:val="18"/>
                <w:shd w:val="clear" w:color="auto" w:fill="auto"/>
              </w:rPr>
              <w:br w:type="textWrapping"/>
            </w:r>
            <w:r>
              <w:rPr>
                <w:rFonts w:hint="eastAsia" w:ascii="微软雅黑" w:hAnsi="微软雅黑" w:eastAsia="微软雅黑" w:cs="微软雅黑"/>
                <w:color w:val="0F1115"/>
                <w:sz w:val="18"/>
                <w:szCs w:val="18"/>
                <w:shd w:val="clear" w:color="auto" w:fill="auto"/>
              </w:rPr>
              <w:t>• 介入手术室导览：学习冠脉造影、电生理检查等技术的原理与应用</w:t>
            </w:r>
          </w:p>
        </w:tc>
        <w:tc>
          <w:tcPr>
            <w:tcW w:w="1491" w:type="pct"/>
            <w:vAlign w:val="center"/>
          </w:tcPr>
          <w:p>
            <w:pPr>
              <w:pStyle w:val="39"/>
              <w:jc w:val="both"/>
              <w:rPr>
                <w:rFonts w:hint="eastAsia" w:ascii="微软雅黑" w:hAnsi="微软雅黑" w:eastAsia="微软雅黑" w:cs="微软雅黑"/>
                <w:sz w:val="18"/>
                <w:szCs w:val="18"/>
                <w:shd w:val="clear" w:color="auto" w:fill="auto"/>
              </w:rPr>
            </w:pPr>
            <w:r>
              <w:rPr>
                <w:rFonts w:hint="eastAsia" w:ascii="微软雅黑" w:hAnsi="微软雅黑" w:eastAsia="微软雅黑" w:cs="微软雅黑"/>
                <w:color w:val="0F1115"/>
                <w:sz w:val="18"/>
                <w:szCs w:val="18"/>
                <w:shd w:val="clear" w:color="auto" w:fill="auto"/>
              </w:rPr>
              <w:t>建立对心血管疾病“防-治-救”一体化体系的认识，了解介入诊疗前沿。</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2017" w:hRule="atLeast"/>
        </w:trPr>
        <w:tc>
          <w:tcPr>
            <w:tcW w:w="391" w:type="pct"/>
            <w:vMerge w:val="continue"/>
          </w:tcPr>
          <w:p>
            <w:pPr>
              <w:spacing w:after="0" w:line="480" w:lineRule="exact"/>
              <w:jc w:val="center"/>
              <w:rPr>
                <w:rFonts w:hint="eastAsia" w:ascii="微软雅黑" w:hAnsi="微软雅黑" w:eastAsia="微软雅黑" w:cs="微软雅黑"/>
                <w:b/>
                <w:bCs/>
                <w:sz w:val="21"/>
                <w:szCs w:val="21"/>
              </w:rPr>
            </w:pPr>
          </w:p>
        </w:tc>
        <w:tc>
          <w:tcPr>
            <w:tcW w:w="522" w:type="pc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第十二天</w:t>
            </w:r>
          </w:p>
        </w:tc>
        <w:tc>
          <w:tcPr>
            <w:tcW w:w="429" w:type="pct"/>
            <w:vAlign w:val="center"/>
          </w:tcPr>
          <w:p>
            <w:pPr>
              <w:pStyle w:val="39"/>
              <w:jc w:val="center"/>
              <w:rPr>
                <w:rFonts w:hint="eastAsia" w:ascii="微软雅黑" w:hAnsi="微软雅黑" w:eastAsia="微软雅黑" w:cs="微软雅黑"/>
                <w:sz w:val="18"/>
                <w:szCs w:val="18"/>
                <w:shd w:val="clear" w:color="auto" w:fill="auto"/>
              </w:rPr>
            </w:pPr>
            <w:r>
              <w:rPr>
                <w:rFonts w:hint="eastAsia" w:ascii="微软雅黑" w:hAnsi="微软雅黑" w:eastAsia="微软雅黑" w:cs="微软雅黑"/>
                <w:sz w:val="18"/>
                <w:szCs w:val="18"/>
                <w:shd w:val="clear" w:color="auto" w:fill="auto"/>
              </w:rPr>
              <w:t>全天</w:t>
            </w:r>
          </w:p>
        </w:tc>
        <w:tc>
          <w:tcPr>
            <w:tcW w:w="2164" w:type="pct"/>
          </w:tcPr>
          <w:p>
            <w:pPr>
              <w:pStyle w:val="39"/>
              <w:jc w:val="both"/>
              <w:rPr>
                <w:rFonts w:hint="eastAsia" w:ascii="微软雅黑" w:hAnsi="微软雅黑" w:eastAsia="微软雅黑" w:cs="微软雅黑"/>
                <w:sz w:val="18"/>
                <w:szCs w:val="18"/>
                <w:shd w:val="clear" w:color="auto" w:fill="auto"/>
              </w:rPr>
            </w:pPr>
            <w:r>
              <w:rPr>
                <w:rStyle w:val="20"/>
                <w:rFonts w:hint="eastAsia" w:ascii="微软雅黑" w:hAnsi="微软雅黑" w:eastAsia="微软雅黑" w:cs="微软雅黑"/>
                <w:color w:val="0F1115"/>
                <w:sz w:val="18"/>
                <w:szCs w:val="18"/>
                <w:shd w:val="clear" w:color="auto" w:fill="auto"/>
              </w:rPr>
              <w:t>见习四：心脏与血管中心（深入）</w:t>
            </w:r>
            <w:r>
              <w:rPr>
                <w:rFonts w:hint="eastAsia" w:ascii="微软雅黑" w:hAnsi="微软雅黑" w:eastAsia="微软雅黑" w:cs="微软雅黑"/>
                <w:color w:val="0F1115"/>
                <w:sz w:val="18"/>
                <w:szCs w:val="18"/>
                <w:shd w:val="clear" w:color="auto" w:fill="auto"/>
              </w:rPr>
              <w:br w:type="textWrapping"/>
            </w:r>
            <w:r>
              <w:rPr>
                <w:rFonts w:hint="eastAsia" w:ascii="微软雅黑" w:hAnsi="微软雅黑" w:eastAsia="微软雅黑" w:cs="微软雅黑"/>
                <w:color w:val="0F1115"/>
                <w:sz w:val="18"/>
                <w:szCs w:val="18"/>
                <w:shd w:val="clear" w:color="auto" w:fill="auto"/>
              </w:rPr>
              <w:t>• 专科会诊：参与起搏器/ICD植入术前讨论</w:t>
            </w:r>
            <w:r>
              <w:rPr>
                <w:rFonts w:hint="eastAsia" w:ascii="微软雅黑" w:hAnsi="微软雅黑" w:eastAsia="微软雅黑" w:cs="微软雅黑"/>
                <w:color w:val="0F1115"/>
                <w:sz w:val="18"/>
                <w:szCs w:val="18"/>
                <w:shd w:val="clear" w:color="auto" w:fill="auto"/>
              </w:rPr>
              <w:br w:type="textWrapping"/>
            </w:r>
            <w:r>
              <w:rPr>
                <w:rFonts w:hint="eastAsia" w:ascii="微软雅黑" w:hAnsi="微软雅黑" w:eastAsia="微软雅黑" w:cs="微软雅黑"/>
                <w:color w:val="0F1115"/>
                <w:sz w:val="18"/>
                <w:szCs w:val="18"/>
                <w:shd w:val="clear" w:color="auto" w:fill="auto"/>
              </w:rPr>
              <w:t>• 手术观摩（根据排期）：观察起搏器植入或心血管外科手术</w:t>
            </w:r>
            <w:r>
              <w:rPr>
                <w:rFonts w:hint="eastAsia" w:ascii="微软雅黑" w:hAnsi="微软雅黑" w:eastAsia="微软雅黑" w:cs="微软雅黑"/>
                <w:color w:val="0F1115"/>
                <w:sz w:val="18"/>
                <w:szCs w:val="18"/>
                <w:shd w:val="clear" w:color="auto" w:fill="auto"/>
              </w:rPr>
              <w:br w:type="textWrapping"/>
            </w:r>
            <w:r>
              <w:rPr>
                <w:rFonts w:hint="eastAsia" w:ascii="微软雅黑" w:hAnsi="微软雅黑" w:eastAsia="微软雅黑" w:cs="微软雅黑"/>
                <w:color w:val="0F1115"/>
                <w:sz w:val="18"/>
                <w:szCs w:val="18"/>
                <w:shd w:val="clear" w:color="auto" w:fill="auto"/>
              </w:rPr>
              <w:t>• 心脏重症监护室学习：学习心衰、术后危重患者的监护要点</w:t>
            </w:r>
          </w:p>
        </w:tc>
        <w:tc>
          <w:tcPr>
            <w:tcW w:w="1491" w:type="pct"/>
            <w:vAlign w:val="center"/>
          </w:tcPr>
          <w:p>
            <w:pPr>
              <w:pStyle w:val="39"/>
              <w:jc w:val="both"/>
              <w:rPr>
                <w:rFonts w:hint="eastAsia" w:ascii="微软雅黑" w:hAnsi="微软雅黑" w:eastAsia="微软雅黑" w:cs="微软雅黑"/>
                <w:sz w:val="18"/>
                <w:szCs w:val="18"/>
                <w:shd w:val="clear" w:color="auto" w:fill="auto"/>
              </w:rPr>
            </w:pPr>
            <w:r>
              <w:rPr>
                <w:rFonts w:hint="eastAsia" w:ascii="微软雅黑" w:hAnsi="微软雅黑" w:eastAsia="微软雅黑" w:cs="微软雅黑"/>
                <w:color w:val="0F1115"/>
                <w:sz w:val="18"/>
                <w:szCs w:val="18"/>
                <w:shd w:val="clear" w:color="auto" w:fill="auto"/>
              </w:rPr>
              <w:t>深化对心律失常及终末期心衰管理的理解，掌握重症监护的核心要素。</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1683" w:hRule="atLeast"/>
        </w:trPr>
        <w:tc>
          <w:tcPr>
            <w:tcW w:w="391" w:type="pct"/>
            <w:vMerge w:val="continue"/>
          </w:tcPr>
          <w:p>
            <w:pPr>
              <w:spacing w:after="0" w:line="480" w:lineRule="exact"/>
              <w:jc w:val="center"/>
              <w:rPr>
                <w:rFonts w:hint="eastAsia" w:ascii="微软雅黑" w:hAnsi="微软雅黑" w:eastAsia="微软雅黑" w:cs="微软雅黑"/>
                <w:b/>
                <w:bCs/>
                <w:sz w:val="21"/>
                <w:szCs w:val="21"/>
              </w:rPr>
            </w:pPr>
          </w:p>
        </w:tc>
        <w:tc>
          <w:tcPr>
            <w:tcW w:w="522" w:type="pct"/>
            <w:vMerge w:val="restar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第十三天</w:t>
            </w:r>
          </w:p>
        </w:tc>
        <w:tc>
          <w:tcPr>
            <w:tcW w:w="429" w:type="pct"/>
            <w:vAlign w:val="center"/>
          </w:tcPr>
          <w:p>
            <w:pPr>
              <w:pStyle w:val="39"/>
              <w:jc w:val="center"/>
              <w:rPr>
                <w:rFonts w:hint="eastAsia" w:ascii="微软雅黑" w:hAnsi="微软雅黑" w:eastAsia="微软雅黑" w:cs="微软雅黑"/>
                <w:sz w:val="18"/>
                <w:szCs w:val="18"/>
                <w:shd w:val="clear" w:color="auto" w:fill="auto"/>
              </w:rPr>
            </w:pPr>
            <w:r>
              <w:rPr>
                <w:rFonts w:hint="eastAsia" w:ascii="微软雅黑" w:hAnsi="微软雅黑" w:eastAsia="微软雅黑" w:cs="微软雅黑"/>
                <w:sz w:val="18"/>
                <w:szCs w:val="18"/>
                <w:shd w:val="clear" w:color="auto" w:fill="auto"/>
              </w:rPr>
              <w:t>上午</w:t>
            </w:r>
          </w:p>
        </w:tc>
        <w:tc>
          <w:tcPr>
            <w:tcW w:w="2164" w:type="pct"/>
          </w:tcPr>
          <w:p>
            <w:pPr>
              <w:pStyle w:val="39"/>
              <w:jc w:val="both"/>
              <w:rPr>
                <w:rFonts w:hint="eastAsia" w:ascii="微软雅黑" w:hAnsi="微软雅黑" w:eastAsia="微软雅黑" w:cs="微软雅黑"/>
                <w:color w:val="0F1115"/>
                <w:sz w:val="18"/>
                <w:szCs w:val="18"/>
                <w:shd w:val="clear" w:color="auto" w:fill="auto"/>
              </w:rPr>
            </w:pPr>
            <w:r>
              <w:rPr>
                <w:rStyle w:val="20"/>
                <w:rFonts w:hint="eastAsia" w:ascii="微软雅黑" w:hAnsi="微软雅黑" w:eastAsia="微软雅黑" w:cs="微软雅黑"/>
                <w:color w:val="0F1115"/>
                <w:sz w:val="18"/>
                <w:szCs w:val="18"/>
                <w:shd w:val="clear" w:color="auto" w:fill="auto"/>
              </w:rPr>
              <w:t>见习五：急诊医学系</w:t>
            </w:r>
            <w:r>
              <w:rPr>
                <w:rFonts w:hint="eastAsia" w:ascii="微软雅黑" w:hAnsi="微软雅黑" w:eastAsia="微软雅黑" w:cs="微软雅黑"/>
                <w:color w:val="0F1115"/>
                <w:sz w:val="18"/>
                <w:szCs w:val="18"/>
                <w:shd w:val="clear" w:color="auto" w:fill="auto"/>
              </w:rPr>
              <w:br w:type="textWrapping"/>
            </w:r>
            <w:r>
              <w:rPr>
                <w:rFonts w:hint="eastAsia" w:ascii="微软雅黑" w:hAnsi="微软雅黑" w:eastAsia="微软雅黑" w:cs="微软雅黑"/>
                <w:color w:val="0F1115"/>
                <w:sz w:val="18"/>
                <w:szCs w:val="18"/>
                <w:shd w:val="clear" w:color="auto" w:fill="auto"/>
              </w:rPr>
              <w:t>• 急诊医学系观摩：学习急诊患者接诊流程、常见急症诊疗规范与医患沟通技巧</w:t>
            </w:r>
          </w:p>
          <w:p>
            <w:pPr>
              <w:pStyle w:val="39"/>
              <w:jc w:val="both"/>
              <w:rPr>
                <w:rFonts w:hint="eastAsia" w:ascii="微软雅黑" w:hAnsi="微软雅黑" w:eastAsia="微软雅黑" w:cs="微软雅黑"/>
                <w:sz w:val="18"/>
                <w:szCs w:val="18"/>
                <w:shd w:val="clear" w:color="auto" w:fill="auto"/>
              </w:rPr>
            </w:pPr>
            <w:r>
              <w:rPr>
                <w:rFonts w:hint="eastAsia" w:ascii="微软雅黑" w:hAnsi="微软雅黑" w:eastAsia="微软雅黑" w:cs="微软雅黑"/>
                <w:color w:val="0F1115"/>
                <w:sz w:val="18"/>
                <w:szCs w:val="18"/>
                <w:shd w:val="clear" w:color="auto" w:fill="auto"/>
              </w:rPr>
              <w:t>• 急诊模拟实践教学：体验急诊常用诊疗设备与技术（如生命体征监测、急救操作、创伤处理模拟）</w:t>
            </w:r>
          </w:p>
        </w:tc>
        <w:tc>
          <w:tcPr>
            <w:tcW w:w="1491" w:type="pct"/>
            <w:vAlign w:val="center"/>
          </w:tcPr>
          <w:p>
            <w:pPr>
              <w:pStyle w:val="39"/>
              <w:jc w:val="both"/>
              <w:rPr>
                <w:rFonts w:hint="eastAsia" w:ascii="微软雅黑" w:hAnsi="微软雅黑" w:eastAsia="微软雅黑" w:cs="微软雅黑"/>
                <w:sz w:val="18"/>
                <w:szCs w:val="18"/>
                <w:shd w:val="clear" w:color="auto" w:fill="auto"/>
              </w:rPr>
            </w:pPr>
            <w:r>
              <w:rPr>
                <w:rFonts w:hint="eastAsia" w:ascii="微软雅黑" w:hAnsi="微软雅黑" w:eastAsia="微软雅黑" w:cs="微软雅黑"/>
                <w:color w:val="0F1115"/>
                <w:sz w:val="18"/>
                <w:szCs w:val="18"/>
                <w:shd w:val="clear" w:color="auto" w:fill="auto"/>
              </w:rPr>
              <w:t>了解急诊医学的临床特点与工作流程，掌握急诊常见操作技能与应急处理思路。</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1013" w:hRule="atLeast"/>
        </w:trPr>
        <w:tc>
          <w:tcPr>
            <w:tcW w:w="391" w:type="pct"/>
            <w:vMerge w:val="continue"/>
          </w:tcPr>
          <w:p>
            <w:pPr>
              <w:spacing w:after="0" w:line="480" w:lineRule="exact"/>
              <w:jc w:val="center"/>
              <w:rPr>
                <w:rFonts w:hint="eastAsia" w:ascii="微软雅黑" w:hAnsi="微软雅黑" w:eastAsia="微软雅黑" w:cs="微软雅黑"/>
                <w:b/>
                <w:bCs/>
                <w:sz w:val="21"/>
                <w:szCs w:val="21"/>
              </w:rPr>
            </w:pPr>
          </w:p>
        </w:tc>
        <w:tc>
          <w:tcPr>
            <w:tcW w:w="522" w:type="pct"/>
            <w:vMerge w:val="continue"/>
            <w:vAlign w:val="center"/>
          </w:tcPr>
          <w:p>
            <w:pPr>
              <w:spacing w:after="0" w:line="240" w:lineRule="auto"/>
              <w:jc w:val="center"/>
              <w:rPr>
                <w:rFonts w:hint="eastAsia" w:ascii="微软雅黑" w:hAnsi="微软雅黑" w:eastAsia="微软雅黑" w:cs="微软雅黑"/>
                <w:sz w:val="18"/>
                <w:szCs w:val="18"/>
              </w:rPr>
            </w:pPr>
          </w:p>
        </w:tc>
        <w:tc>
          <w:tcPr>
            <w:tcW w:w="429" w:type="pct"/>
            <w:vAlign w:val="center"/>
          </w:tcPr>
          <w:p>
            <w:pPr>
              <w:pStyle w:val="39"/>
              <w:jc w:val="center"/>
              <w:rPr>
                <w:rFonts w:hint="eastAsia" w:ascii="微软雅黑" w:hAnsi="微软雅黑" w:eastAsia="微软雅黑" w:cs="微软雅黑"/>
                <w:sz w:val="18"/>
                <w:szCs w:val="18"/>
                <w:shd w:val="clear" w:color="auto" w:fill="auto"/>
              </w:rPr>
            </w:pPr>
            <w:r>
              <w:rPr>
                <w:rFonts w:hint="eastAsia" w:ascii="微软雅黑" w:hAnsi="微软雅黑" w:eastAsia="微软雅黑" w:cs="微软雅黑"/>
                <w:sz w:val="18"/>
                <w:szCs w:val="18"/>
                <w:shd w:val="clear" w:color="auto" w:fill="auto"/>
              </w:rPr>
              <w:t>下午</w:t>
            </w:r>
          </w:p>
        </w:tc>
        <w:tc>
          <w:tcPr>
            <w:tcW w:w="2164" w:type="pct"/>
          </w:tcPr>
          <w:p>
            <w:pPr>
              <w:pStyle w:val="39"/>
              <w:jc w:val="both"/>
              <w:rPr>
                <w:rFonts w:hint="eastAsia" w:ascii="微软雅黑" w:hAnsi="微软雅黑" w:eastAsia="微软雅黑" w:cs="微软雅黑"/>
                <w:sz w:val="18"/>
                <w:szCs w:val="18"/>
                <w:shd w:val="clear" w:color="auto" w:fill="auto"/>
              </w:rPr>
            </w:pPr>
            <w:r>
              <w:rPr>
                <w:rStyle w:val="20"/>
                <w:rFonts w:hint="eastAsia" w:ascii="微软雅黑" w:hAnsi="微软雅黑" w:eastAsia="微软雅黑" w:cs="微软雅黑"/>
                <w:color w:val="0F1115"/>
                <w:sz w:val="18"/>
                <w:szCs w:val="18"/>
                <w:shd w:val="clear" w:color="auto" w:fill="auto"/>
              </w:rPr>
              <w:t>结营仪式</w:t>
            </w:r>
            <w:r>
              <w:rPr>
                <w:rFonts w:hint="eastAsia" w:ascii="微软雅黑" w:hAnsi="微软雅黑" w:eastAsia="微软雅黑" w:cs="微软雅黑"/>
                <w:color w:val="0F1115"/>
                <w:sz w:val="18"/>
                <w:szCs w:val="18"/>
                <w:shd w:val="clear" w:color="auto" w:fill="auto"/>
              </w:rPr>
              <w:br w:type="textWrapping"/>
            </w:r>
            <w:r>
              <w:rPr>
                <w:rFonts w:hint="eastAsia" w:ascii="微软雅黑" w:hAnsi="微软雅黑" w:eastAsia="微软雅黑" w:cs="微软雅黑"/>
                <w:color w:val="0F1115"/>
                <w:sz w:val="18"/>
                <w:szCs w:val="18"/>
                <w:shd w:val="clear" w:color="auto" w:fill="auto"/>
              </w:rPr>
              <w:t>• 项目总结</w:t>
            </w:r>
            <w:r>
              <w:rPr>
                <w:rFonts w:hint="eastAsia" w:ascii="微软雅黑" w:hAnsi="微软雅黑" w:eastAsia="微软雅黑" w:cs="微软雅黑"/>
                <w:color w:val="0F1115"/>
                <w:sz w:val="18"/>
                <w:szCs w:val="18"/>
                <w:shd w:val="clear" w:color="auto" w:fill="auto"/>
              </w:rPr>
              <w:br w:type="textWrapping"/>
            </w:r>
            <w:r>
              <w:rPr>
                <w:rFonts w:hint="eastAsia" w:ascii="微软雅黑" w:hAnsi="微软雅黑" w:eastAsia="微软雅黑" w:cs="微软雅黑"/>
                <w:color w:val="0F1115"/>
                <w:sz w:val="18"/>
                <w:szCs w:val="18"/>
                <w:shd w:val="clear" w:color="auto" w:fill="auto"/>
              </w:rPr>
              <w:t>• 颁发塞梅维什大学官方结业证书</w:t>
            </w:r>
          </w:p>
        </w:tc>
        <w:tc>
          <w:tcPr>
            <w:tcW w:w="1491" w:type="pct"/>
            <w:vAlign w:val="center"/>
          </w:tcPr>
          <w:p>
            <w:pPr>
              <w:pStyle w:val="39"/>
              <w:jc w:val="both"/>
              <w:rPr>
                <w:rFonts w:hint="eastAsia" w:ascii="微软雅黑" w:hAnsi="微软雅黑" w:eastAsia="微软雅黑" w:cs="微软雅黑"/>
                <w:sz w:val="18"/>
                <w:szCs w:val="18"/>
                <w:shd w:val="clear" w:color="auto" w:fill="auto"/>
              </w:rPr>
            </w:pPr>
            <w:r>
              <w:rPr>
                <w:rFonts w:hint="eastAsia" w:ascii="微软雅黑" w:hAnsi="微软雅黑" w:eastAsia="微软雅黑" w:cs="微软雅黑"/>
                <w:color w:val="0F1115"/>
                <w:sz w:val="18"/>
                <w:szCs w:val="18"/>
                <w:shd w:val="clear" w:color="auto" w:fill="auto"/>
              </w:rPr>
              <w:t>总结收获，建立与国际同行的联系网络。</w:t>
            </w:r>
          </w:p>
        </w:tc>
      </w:tr>
      <w:tr>
        <w:tblPrEx>
          <w:tblBorders>
            <w:top w:val="single" w:color="232F62" w:sz="4" w:space="0"/>
            <w:left w:val="single" w:color="232F62" w:sz="4" w:space="0"/>
            <w:bottom w:val="single" w:color="232F62" w:sz="4" w:space="0"/>
            <w:right w:val="single" w:color="232F62" w:sz="4" w:space="0"/>
            <w:insideH w:val="single" w:color="232F62" w:sz="4" w:space="0"/>
            <w:insideV w:val="single" w:color="232F62" w:sz="4" w:space="0"/>
          </w:tblBorders>
          <w:tblCellMar>
            <w:top w:w="0" w:type="dxa"/>
            <w:left w:w="108" w:type="dxa"/>
            <w:bottom w:w="0" w:type="dxa"/>
            <w:right w:w="108" w:type="dxa"/>
          </w:tblCellMar>
        </w:tblPrEx>
        <w:trPr>
          <w:trHeight w:val="354" w:hRule="atLeast"/>
        </w:trPr>
        <w:tc>
          <w:tcPr>
            <w:tcW w:w="391" w:type="pct"/>
            <w:vMerge w:val="continue"/>
          </w:tcPr>
          <w:p>
            <w:pPr>
              <w:spacing w:after="0" w:line="480" w:lineRule="exact"/>
              <w:jc w:val="center"/>
              <w:rPr>
                <w:rFonts w:hint="eastAsia" w:ascii="微软雅黑" w:hAnsi="微软雅黑" w:eastAsia="微软雅黑" w:cs="微软雅黑"/>
                <w:b/>
                <w:bCs/>
                <w:sz w:val="21"/>
                <w:szCs w:val="21"/>
              </w:rPr>
            </w:pPr>
          </w:p>
        </w:tc>
        <w:tc>
          <w:tcPr>
            <w:tcW w:w="522" w:type="pct"/>
            <w:vAlign w:val="center"/>
          </w:tcPr>
          <w:p>
            <w:pPr>
              <w:spacing w:after="0" w:line="240" w:lineRule="auto"/>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rPr>
              <w:t>第十四天</w:t>
            </w:r>
          </w:p>
        </w:tc>
        <w:tc>
          <w:tcPr>
            <w:tcW w:w="429" w:type="pct"/>
            <w:vAlign w:val="center"/>
          </w:tcPr>
          <w:p>
            <w:pPr>
              <w:pStyle w:val="39"/>
              <w:jc w:val="center"/>
              <w:rPr>
                <w:rFonts w:hint="eastAsia" w:ascii="微软雅黑" w:hAnsi="微软雅黑" w:eastAsia="微软雅黑" w:cs="微软雅黑"/>
                <w:sz w:val="18"/>
                <w:szCs w:val="18"/>
                <w:shd w:val="clear" w:color="auto" w:fill="auto"/>
              </w:rPr>
            </w:pPr>
            <w:r>
              <w:rPr>
                <w:rFonts w:hint="eastAsia" w:ascii="微软雅黑" w:hAnsi="微软雅黑" w:eastAsia="微软雅黑" w:cs="微软雅黑"/>
                <w:sz w:val="18"/>
                <w:szCs w:val="18"/>
                <w:shd w:val="clear" w:color="auto" w:fill="auto"/>
              </w:rPr>
              <w:t>全天</w:t>
            </w:r>
          </w:p>
        </w:tc>
        <w:tc>
          <w:tcPr>
            <w:tcW w:w="3656" w:type="pct"/>
            <w:gridSpan w:val="2"/>
            <w:vAlign w:val="center"/>
          </w:tcPr>
          <w:p>
            <w:pPr>
              <w:pStyle w:val="39"/>
              <w:jc w:val="both"/>
              <w:rPr>
                <w:rFonts w:hint="eastAsia" w:ascii="微软雅黑" w:hAnsi="微软雅黑" w:eastAsia="微软雅黑" w:cs="微软雅黑"/>
                <w:color w:val="0F1115"/>
                <w:sz w:val="18"/>
                <w:szCs w:val="18"/>
                <w:shd w:val="clear" w:color="auto" w:fill="auto"/>
              </w:rPr>
            </w:pPr>
            <w:r>
              <w:rPr>
                <w:rFonts w:hint="eastAsia" w:ascii="微软雅黑" w:hAnsi="微软雅黑" w:eastAsia="微软雅黑" w:cs="微软雅黑"/>
                <w:color w:val="0F1115"/>
                <w:sz w:val="18"/>
                <w:szCs w:val="18"/>
                <w:shd w:val="clear" w:color="auto" w:fill="auto"/>
              </w:rPr>
              <w:t>离营返程，乘机返回中国。</w:t>
            </w:r>
          </w:p>
        </w:tc>
      </w:tr>
    </w:tbl>
    <w:p>
      <w:pPr>
        <w:keepNext w:val="0"/>
        <w:keepLines w:val="0"/>
        <w:pageBreakBefore w:val="0"/>
        <w:widowControl w:val="0"/>
        <w:kinsoku/>
        <w:wordWrap/>
        <w:overflowPunct/>
        <w:topLinePunct w:val="0"/>
        <w:autoSpaceDE/>
        <w:autoSpaceDN/>
        <w:bidi w:val="0"/>
        <w:adjustRightInd/>
        <w:snapToGrid w:val="0"/>
        <w:spacing w:before="157" w:beforeLines="50" w:line="279" w:lineRule="auto"/>
        <w:textAlignment w:val="auto"/>
        <w:rPr>
          <w:rFonts w:hint="eastAsia" w:ascii="微软雅黑" w:hAnsi="微软雅黑" w:eastAsia="微软雅黑" w:cs="微软雅黑"/>
          <w:color w:val="002060"/>
          <w:sz w:val="20"/>
          <w:szCs w:val="20"/>
        </w:rPr>
      </w:pPr>
      <w:bookmarkStart w:id="1" w:name="OLE_LINK2"/>
      <w:r>
        <w:rPr>
          <w:rFonts w:hint="eastAsia" w:ascii="微软雅黑" w:hAnsi="微软雅黑" w:eastAsia="微软雅黑" w:cs="微软雅黑"/>
          <w:color w:val="002060"/>
          <w:sz w:val="20"/>
          <w:szCs w:val="20"/>
        </w:rPr>
        <w:t>※以上见习内容由塞梅维什大学提供，实际内容及日程安排以各科室/中心最终版本为准。</w:t>
      </w:r>
      <w:bookmarkEnd w:id="1"/>
    </w:p>
    <w:p>
      <w:pPr>
        <w:spacing w:line="240" w:lineRule="auto"/>
        <w:jc w:val="both"/>
        <w:rPr>
          <w:rFonts w:hint="eastAsia" w:ascii="微软雅黑" w:hAnsi="微软雅黑" w:eastAsia="微软雅黑" w:cs="微软雅黑"/>
          <w:b/>
          <w:bCs/>
          <w:sz w:val="24"/>
        </w:rPr>
      </w:pPr>
    </w:p>
    <w:p>
      <w:pPr>
        <w:spacing w:line="240" w:lineRule="auto"/>
        <w:jc w:val="both"/>
        <w:rPr>
          <w:rFonts w:hint="eastAsia" w:ascii="微软雅黑" w:hAnsi="微软雅黑" w:eastAsia="微软雅黑" w:cs="微软雅黑"/>
          <w:b/>
          <w:bCs/>
          <w:sz w:val="24"/>
        </w:rPr>
      </w:pPr>
      <w:r>
        <w:rPr>
          <w:rFonts w:hint="eastAsia" w:ascii="微软雅黑" w:hAnsi="微软雅黑" w:eastAsia="微软雅黑" w:cs="微软雅黑"/>
          <w:b/>
          <w:bCs/>
          <w:sz w:val="24"/>
        </w:rPr>
        <w:t>附件2：项目收获</w:t>
      </w:r>
    </w:p>
    <w:p>
      <w:pPr>
        <w:jc w:val="center"/>
        <w:rPr>
          <w:rFonts w:hint="eastAsia" w:ascii="微软雅黑" w:hAnsi="微软雅黑" w:eastAsia="微软雅黑" w:cs="微软雅黑"/>
        </w:rPr>
      </w:pPr>
      <w:r>
        <w:rPr>
          <w:rFonts w:hint="eastAsia" w:ascii="微软雅黑" w:hAnsi="微软雅黑" w:eastAsia="微软雅黑" w:cs="微软雅黑"/>
        </w:rPr>
        <w:drawing>
          <wp:inline distT="0" distB="0" distL="0" distR="0">
            <wp:extent cx="1993900" cy="2817495"/>
            <wp:effectExtent l="38100" t="38100" r="88900" b="9080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2033931" cy="2873710"/>
                    </a:xfrm>
                    <a:prstGeom prst="rect">
                      <a:avLst/>
                    </a:prstGeom>
                    <a:effectLst>
                      <a:glow rad="685800">
                        <a:schemeClr val="accent1">
                          <a:alpha val="0"/>
                        </a:schemeClr>
                      </a:glow>
                      <a:outerShdw blurRad="50800" dist="38100" dir="2700000" algn="tl" rotWithShape="0">
                        <a:prstClr val="black">
                          <a:alpha val="40000"/>
                        </a:prstClr>
                      </a:outerShdw>
                      <a:softEdge rad="0"/>
                    </a:effectLst>
                  </pic:spPr>
                </pic:pic>
              </a:graphicData>
            </a:graphic>
          </wp:inline>
        </w:drawing>
      </w:r>
    </w:p>
    <w:p>
      <w:pPr>
        <w:jc w:val="center"/>
        <w:rPr>
          <w:rFonts w:hint="eastAsia" w:ascii="微软雅黑" w:hAnsi="微软雅黑" w:eastAsia="微软雅黑" w:cs="微软雅黑"/>
          <w:sz w:val="20"/>
          <w:szCs w:val="21"/>
        </w:rPr>
      </w:pPr>
      <w:r>
        <w:rPr>
          <w:rFonts w:hint="eastAsia" w:ascii="微软雅黑" w:hAnsi="微软雅黑" w:eastAsia="微软雅黑" w:cs="微软雅黑"/>
          <w:sz w:val="20"/>
          <w:szCs w:val="21"/>
        </w:rPr>
        <w:t>项目证书（样例）</w:t>
      </w:r>
    </w:p>
    <w:p>
      <w:pPr>
        <w:rPr>
          <w:rFonts w:hint="eastAsia" w:ascii="微软雅黑" w:hAnsi="微软雅黑" w:eastAsia="微软雅黑" w:cs="微软雅黑"/>
          <w:b/>
          <w:bCs/>
          <w:sz w:val="20"/>
          <w:szCs w:val="21"/>
        </w:rPr>
      </w:pPr>
      <w:r>
        <w:rPr>
          <w:rFonts w:hint="eastAsia" w:ascii="微软雅黑" w:hAnsi="微软雅黑" w:eastAsia="微软雅黑" w:cs="微软雅黑"/>
        </w:rPr>
        <w:t xml:space="preserve"> </w:t>
      </w:r>
    </w:p>
    <w:sectPr>
      <w:headerReference r:id="rId5" w:type="default"/>
      <w:pgSz w:w="11906" w:h="16838"/>
      <w:pgMar w:top="1361" w:right="1106" w:bottom="1361" w:left="130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思源黑体 CN Normal">
    <w:altName w:val="微软雅黑"/>
    <w:panose1 w:val="00000000000000000000"/>
    <w:charset w:val="86"/>
    <w:family w:val="swiss"/>
    <w:pitch w:val="default"/>
    <w:sig w:usb0="00000000" w:usb1="00000000" w:usb2="00000016" w:usb3="00000000" w:csb0="00060107"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righ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DF09FF"/>
    <w:multiLevelType w:val="multilevel"/>
    <w:tmpl w:val="04DF09FF"/>
    <w:lvl w:ilvl="0" w:tentative="0">
      <w:start w:val="1"/>
      <w:numFmt w:val="chineseCountingThousand"/>
      <w:lvlText w:val="(%1)"/>
      <w:lvlJc w:val="left"/>
      <w:pPr>
        <w:ind w:left="440" w:hanging="440"/>
      </w:pPr>
      <w:rPr>
        <w:color w:val="00206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09F538C0"/>
    <w:multiLevelType w:val="multilevel"/>
    <w:tmpl w:val="09F538C0"/>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0B8F1DC7"/>
    <w:multiLevelType w:val="multilevel"/>
    <w:tmpl w:val="0B8F1DC7"/>
    <w:lvl w:ilvl="0" w:tentative="0">
      <w:start w:val="1"/>
      <w:numFmt w:val="decimal"/>
      <w:lvlText w:val="%1)"/>
      <w:lvlJc w:val="left"/>
      <w:pPr>
        <w:ind w:left="587" w:hanging="440"/>
      </w:pPr>
    </w:lvl>
    <w:lvl w:ilvl="1" w:tentative="0">
      <w:start w:val="1"/>
      <w:numFmt w:val="lowerLetter"/>
      <w:lvlText w:val="%2)"/>
      <w:lvlJc w:val="left"/>
      <w:pPr>
        <w:ind w:left="1027" w:hanging="440"/>
      </w:pPr>
    </w:lvl>
    <w:lvl w:ilvl="2" w:tentative="0">
      <w:start w:val="1"/>
      <w:numFmt w:val="lowerRoman"/>
      <w:lvlText w:val="%3."/>
      <w:lvlJc w:val="right"/>
      <w:pPr>
        <w:ind w:left="1467" w:hanging="440"/>
      </w:pPr>
    </w:lvl>
    <w:lvl w:ilvl="3" w:tentative="0">
      <w:start w:val="1"/>
      <w:numFmt w:val="decimal"/>
      <w:lvlText w:val="%4."/>
      <w:lvlJc w:val="left"/>
      <w:pPr>
        <w:ind w:left="1907" w:hanging="440"/>
      </w:pPr>
    </w:lvl>
    <w:lvl w:ilvl="4" w:tentative="0">
      <w:start w:val="1"/>
      <w:numFmt w:val="lowerLetter"/>
      <w:lvlText w:val="%5)"/>
      <w:lvlJc w:val="left"/>
      <w:pPr>
        <w:ind w:left="2347" w:hanging="440"/>
      </w:pPr>
    </w:lvl>
    <w:lvl w:ilvl="5" w:tentative="0">
      <w:start w:val="1"/>
      <w:numFmt w:val="lowerRoman"/>
      <w:lvlText w:val="%6."/>
      <w:lvlJc w:val="right"/>
      <w:pPr>
        <w:ind w:left="2787" w:hanging="440"/>
      </w:pPr>
    </w:lvl>
    <w:lvl w:ilvl="6" w:tentative="0">
      <w:start w:val="1"/>
      <w:numFmt w:val="decimal"/>
      <w:lvlText w:val="%7."/>
      <w:lvlJc w:val="left"/>
      <w:pPr>
        <w:ind w:left="3227" w:hanging="440"/>
      </w:pPr>
    </w:lvl>
    <w:lvl w:ilvl="7" w:tentative="0">
      <w:start w:val="1"/>
      <w:numFmt w:val="lowerLetter"/>
      <w:lvlText w:val="%8)"/>
      <w:lvlJc w:val="left"/>
      <w:pPr>
        <w:ind w:left="3667" w:hanging="440"/>
      </w:pPr>
    </w:lvl>
    <w:lvl w:ilvl="8" w:tentative="0">
      <w:start w:val="1"/>
      <w:numFmt w:val="lowerRoman"/>
      <w:lvlText w:val="%9."/>
      <w:lvlJc w:val="right"/>
      <w:pPr>
        <w:ind w:left="4107" w:hanging="440"/>
      </w:pPr>
    </w:lvl>
  </w:abstractNum>
  <w:abstractNum w:abstractNumId="3">
    <w:nsid w:val="0D2C05EF"/>
    <w:multiLevelType w:val="multilevel"/>
    <w:tmpl w:val="0D2C05EF"/>
    <w:lvl w:ilvl="0" w:tentative="0">
      <w:start w:val="1"/>
      <w:numFmt w:val="decimal"/>
      <w:lvlText w:val="%1."/>
      <w:lvlJc w:val="left"/>
      <w:pPr>
        <w:ind w:left="440" w:hanging="440"/>
      </w:pPr>
      <w:rPr>
        <w:rFonts w:hint="default"/>
        <w:b w:val="0"/>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123D6C54"/>
    <w:multiLevelType w:val="multilevel"/>
    <w:tmpl w:val="123D6C54"/>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39D27525"/>
    <w:multiLevelType w:val="multilevel"/>
    <w:tmpl w:val="39D27525"/>
    <w:lvl w:ilvl="0" w:tentative="0">
      <w:start w:val="1"/>
      <w:numFmt w:val="decimal"/>
      <w:lvlText w:val="%1."/>
      <w:lvlJc w:val="left"/>
      <w:pPr>
        <w:ind w:left="440" w:hanging="440"/>
      </w:pPr>
      <w:rPr>
        <w:b w:val="0"/>
        <w:bCs w:val="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478C79C3"/>
    <w:multiLevelType w:val="multilevel"/>
    <w:tmpl w:val="478C79C3"/>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7">
    <w:nsid w:val="54B97A3E"/>
    <w:multiLevelType w:val="multilevel"/>
    <w:tmpl w:val="54B97A3E"/>
    <w:lvl w:ilvl="0" w:tentative="0">
      <w:start w:val="1"/>
      <w:numFmt w:val="chineseCountingThousand"/>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8">
    <w:nsid w:val="72E9327F"/>
    <w:multiLevelType w:val="multilevel"/>
    <w:tmpl w:val="72E9327F"/>
    <w:lvl w:ilvl="0" w:tentative="0">
      <w:start w:val="1"/>
      <w:numFmt w:val="chineseCountingThousand"/>
      <w:pStyle w:val="4"/>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8"/>
  </w:num>
  <w:num w:numId="2">
    <w:abstractNumId w:val="1"/>
  </w:num>
  <w:num w:numId="3">
    <w:abstractNumId w:val="7"/>
  </w:num>
  <w:num w:numId="4">
    <w:abstractNumId w:val="3"/>
  </w:num>
  <w:num w:numId="5">
    <w:abstractNumId w:val="2"/>
  </w:num>
  <w:num w:numId="6">
    <w:abstractNumId w:val="5"/>
  </w:num>
  <w:num w:numId="7">
    <w:abstractNumId w:val="6"/>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hkMzhmZWIxYTViOTRhZThjYTRhNDUxYmRlZThiNGYifQ=="/>
  </w:docVars>
  <w:rsids>
    <w:rsidRoot w:val="005D147E"/>
    <w:rsid w:val="000075C5"/>
    <w:rsid w:val="000233A7"/>
    <w:rsid w:val="00051079"/>
    <w:rsid w:val="00063467"/>
    <w:rsid w:val="000646F5"/>
    <w:rsid w:val="000B12D6"/>
    <w:rsid w:val="000B736B"/>
    <w:rsid w:val="00121D76"/>
    <w:rsid w:val="001B2AAA"/>
    <w:rsid w:val="002361F7"/>
    <w:rsid w:val="002C5953"/>
    <w:rsid w:val="002D6797"/>
    <w:rsid w:val="00371307"/>
    <w:rsid w:val="00414690"/>
    <w:rsid w:val="0042013F"/>
    <w:rsid w:val="00450EF5"/>
    <w:rsid w:val="004601E2"/>
    <w:rsid w:val="004631CC"/>
    <w:rsid w:val="004A5C67"/>
    <w:rsid w:val="004D25F2"/>
    <w:rsid w:val="004E6233"/>
    <w:rsid w:val="005239E0"/>
    <w:rsid w:val="00583366"/>
    <w:rsid w:val="005A4295"/>
    <w:rsid w:val="005D147E"/>
    <w:rsid w:val="005E14C6"/>
    <w:rsid w:val="005E1F5A"/>
    <w:rsid w:val="00611948"/>
    <w:rsid w:val="00621088"/>
    <w:rsid w:val="0063602F"/>
    <w:rsid w:val="00637DF7"/>
    <w:rsid w:val="00654D4B"/>
    <w:rsid w:val="00696094"/>
    <w:rsid w:val="006D5B6B"/>
    <w:rsid w:val="007207B9"/>
    <w:rsid w:val="007520E2"/>
    <w:rsid w:val="007654C4"/>
    <w:rsid w:val="00793A6B"/>
    <w:rsid w:val="007C1803"/>
    <w:rsid w:val="007D46DE"/>
    <w:rsid w:val="008261B6"/>
    <w:rsid w:val="00867240"/>
    <w:rsid w:val="00894DC2"/>
    <w:rsid w:val="008C1A9F"/>
    <w:rsid w:val="008C68F0"/>
    <w:rsid w:val="0096321B"/>
    <w:rsid w:val="00990EDB"/>
    <w:rsid w:val="009C334D"/>
    <w:rsid w:val="00A258DD"/>
    <w:rsid w:val="00A42509"/>
    <w:rsid w:val="00A4683E"/>
    <w:rsid w:val="00A83233"/>
    <w:rsid w:val="00A95358"/>
    <w:rsid w:val="00AF73B4"/>
    <w:rsid w:val="00B04BB0"/>
    <w:rsid w:val="00B66D65"/>
    <w:rsid w:val="00C62488"/>
    <w:rsid w:val="00CA1D77"/>
    <w:rsid w:val="00D54C22"/>
    <w:rsid w:val="00D9742A"/>
    <w:rsid w:val="00E267B6"/>
    <w:rsid w:val="00EA42E8"/>
    <w:rsid w:val="00EA4619"/>
    <w:rsid w:val="00EB14F5"/>
    <w:rsid w:val="00EB4D69"/>
    <w:rsid w:val="00EC0881"/>
    <w:rsid w:val="00ED1C4D"/>
    <w:rsid w:val="00F37F9B"/>
    <w:rsid w:val="00F55951"/>
    <w:rsid w:val="00F656FF"/>
    <w:rsid w:val="00FA07F6"/>
    <w:rsid w:val="00FA3D86"/>
    <w:rsid w:val="00FB11AB"/>
    <w:rsid w:val="02EC2079"/>
    <w:rsid w:val="06603BD2"/>
    <w:rsid w:val="1A10460B"/>
    <w:rsid w:val="1E1D3150"/>
    <w:rsid w:val="27774A2A"/>
    <w:rsid w:val="2E580BEB"/>
    <w:rsid w:val="2FF13FF0"/>
    <w:rsid w:val="3C655C6E"/>
    <w:rsid w:val="5891157C"/>
    <w:rsid w:val="5ACA6D89"/>
    <w:rsid w:val="6BBC13BD"/>
    <w:rsid w:val="749807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after="160" w:line="278" w:lineRule="auto"/>
      <w:contextualSpacing/>
    </w:pPr>
    <w:rPr>
      <w:rFonts w:eastAsia="思源黑体 CN Normal" w:asciiTheme="minorHAnsi" w:hAnsiTheme="minorHAnsi" w:cstheme="minorBidi"/>
      <w:kern w:val="2"/>
      <w:sz w:val="22"/>
      <w:szCs w:val="24"/>
      <w:lang w:val="en-US" w:eastAsia="zh-CN" w:bidi="ar-SA"/>
      <w14:ligatures w14:val="standardContextual"/>
    </w:rPr>
  </w:style>
  <w:style w:type="paragraph" w:styleId="3">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22"/>
    <w:unhideWhenUsed/>
    <w:qFormat/>
    <w:uiPriority w:val="9"/>
    <w:pPr>
      <w:keepNext/>
      <w:keepLines/>
      <w:numPr>
        <w:ilvl w:val="0"/>
        <w:numId w:val="1"/>
      </w:numPr>
      <w:snapToGrid/>
      <w:spacing w:before="160" w:after="80" w:line="360" w:lineRule="auto"/>
      <w:outlineLvl w:val="1"/>
    </w:pPr>
    <w:rPr>
      <w:rFonts w:ascii="思源黑体 CN Normal" w:hAnsi="思源黑体 CN Normal" w:cstheme="majorBidi"/>
      <w:b/>
      <w:color w:val="232F62"/>
      <w:sz w:val="24"/>
      <w:szCs w:val="40"/>
    </w:rPr>
  </w:style>
  <w:style w:type="paragraph" w:styleId="5">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8">
    <w:name w:val="heading 6"/>
    <w:basedOn w:val="1"/>
    <w:next w:val="1"/>
    <w:link w:val="26"/>
    <w:semiHidden/>
    <w:unhideWhenUsed/>
    <w:qFormat/>
    <w:uiPriority w:val="9"/>
    <w:pPr>
      <w:keepNext/>
      <w:keepLines/>
      <w:spacing w:before="40" w:after="0"/>
      <w:outlineLvl w:val="5"/>
    </w:pPr>
    <w:rPr>
      <w:rFonts w:cstheme="majorBidi"/>
      <w:b/>
      <w:bCs/>
      <w:color w:val="104862" w:themeColor="accent1" w:themeShade="BF"/>
    </w:rPr>
  </w:style>
  <w:style w:type="paragraph" w:styleId="9">
    <w:name w:val="heading 7"/>
    <w:basedOn w:val="1"/>
    <w:next w:val="1"/>
    <w:link w:val="27"/>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8"/>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adjustRightInd w:val="0"/>
      <w:snapToGrid w:val="0"/>
      <w:ind w:firstLine="880"/>
    </w:pPr>
  </w:style>
  <w:style w:type="paragraph" w:styleId="12">
    <w:name w:val="footer"/>
    <w:basedOn w:val="1"/>
    <w:link w:val="42"/>
    <w:unhideWhenUsed/>
    <w:qFormat/>
    <w:uiPriority w:val="99"/>
    <w:pPr>
      <w:tabs>
        <w:tab w:val="center" w:pos="4153"/>
        <w:tab w:val="right" w:pos="8306"/>
      </w:tabs>
      <w:spacing w:line="240" w:lineRule="auto"/>
    </w:pPr>
    <w:rPr>
      <w:sz w:val="18"/>
      <w:szCs w:val="18"/>
    </w:rPr>
  </w:style>
  <w:style w:type="paragraph" w:styleId="13">
    <w:name w:val="header"/>
    <w:basedOn w:val="1"/>
    <w:link w:val="41"/>
    <w:unhideWhenUsed/>
    <w:qFormat/>
    <w:uiPriority w:val="99"/>
    <w:pPr>
      <w:tabs>
        <w:tab w:val="center" w:pos="4153"/>
        <w:tab w:val="right" w:pos="8306"/>
      </w:tabs>
      <w:spacing w:line="240" w:lineRule="auto"/>
      <w:jc w:val="center"/>
    </w:pPr>
    <w:rPr>
      <w:sz w:val="18"/>
      <w:szCs w:val="18"/>
    </w:rPr>
  </w:style>
  <w:style w:type="paragraph" w:styleId="14">
    <w:name w:val="Subtitle"/>
    <w:basedOn w:val="1"/>
    <w:next w:val="1"/>
    <w:link w:val="31"/>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rPr>
      <w:rFonts w:ascii="Times New Roman" w:hAnsi="Times New Roman" w:cs="Times New Roman"/>
      <w:sz w:val="24"/>
    </w:rPr>
  </w:style>
  <w:style w:type="paragraph" w:styleId="16">
    <w:name w:val="Title"/>
    <w:basedOn w:val="1"/>
    <w:next w:val="1"/>
    <w:link w:val="30"/>
    <w:qFormat/>
    <w:uiPriority w:val="10"/>
    <w:pPr>
      <w:spacing w:after="80" w:line="240" w:lineRule="auto"/>
      <w:jc w:val="center"/>
    </w:pPr>
    <w:rPr>
      <w:rFonts w:asciiTheme="majorHAnsi" w:hAnsiTheme="majorHAnsi" w:eastAsiaTheme="majorEastAsia" w:cstheme="majorBidi"/>
      <w:spacing w:val="-10"/>
      <w:kern w:val="28"/>
      <w:sz w:val="56"/>
      <w:szCs w:val="56"/>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customStyle="1" w:styleId="21">
    <w:name w:val="标题 1 字符"/>
    <w:basedOn w:val="19"/>
    <w:link w:val="3"/>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4"/>
    <w:qFormat/>
    <w:uiPriority w:val="9"/>
    <w:rPr>
      <w:rFonts w:ascii="思源黑体 CN Normal" w:hAnsi="思源黑体 CN Normal" w:eastAsia="思源黑体 CN Normal" w:cstheme="majorBidi"/>
      <w:b/>
      <w:color w:val="232F62"/>
      <w:sz w:val="24"/>
      <w:szCs w:val="40"/>
    </w:rPr>
  </w:style>
  <w:style w:type="character" w:customStyle="1" w:styleId="23">
    <w:name w:val="标题 3 字符"/>
    <w:basedOn w:val="19"/>
    <w:link w:val="5"/>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6"/>
    <w:semiHidden/>
    <w:qFormat/>
    <w:uiPriority w:val="9"/>
    <w:rPr>
      <w:rFonts w:cstheme="majorBidi"/>
      <w:color w:val="104862" w:themeColor="accent1" w:themeShade="BF"/>
      <w:sz w:val="28"/>
      <w:szCs w:val="28"/>
    </w:rPr>
  </w:style>
  <w:style w:type="character" w:customStyle="1" w:styleId="25">
    <w:name w:val="标题 5 字符"/>
    <w:basedOn w:val="19"/>
    <w:link w:val="7"/>
    <w:semiHidden/>
    <w:qFormat/>
    <w:uiPriority w:val="9"/>
    <w:rPr>
      <w:rFonts w:cstheme="majorBidi"/>
      <w:color w:val="104862" w:themeColor="accent1" w:themeShade="BF"/>
      <w:sz w:val="24"/>
    </w:rPr>
  </w:style>
  <w:style w:type="character" w:customStyle="1" w:styleId="26">
    <w:name w:val="标题 6 字符"/>
    <w:basedOn w:val="19"/>
    <w:link w:val="8"/>
    <w:semiHidden/>
    <w:qFormat/>
    <w:uiPriority w:val="9"/>
    <w:rPr>
      <w:rFonts w:cstheme="majorBidi"/>
      <w:b/>
      <w:bCs/>
      <w:color w:val="104862" w:themeColor="accent1" w:themeShade="BF"/>
    </w:rPr>
  </w:style>
  <w:style w:type="character" w:customStyle="1" w:styleId="27">
    <w:name w:val="标题 7 字符"/>
    <w:basedOn w:val="19"/>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pPr>
  </w:style>
  <w:style w:type="character" w:customStyle="1" w:styleId="35">
    <w:name w:val="明显强调1"/>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qFormat/>
    <w:uiPriority w:val="30"/>
    <w:rPr>
      <w:i/>
      <w:iCs/>
      <w:color w:val="104862" w:themeColor="accent1" w:themeShade="BF"/>
    </w:rPr>
  </w:style>
  <w:style w:type="character" w:customStyle="1" w:styleId="38">
    <w:name w:val="明显参考1"/>
    <w:basedOn w:val="19"/>
    <w:qFormat/>
    <w:uiPriority w:val="32"/>
    <w:rPr>
      <w:b/>
      <w:bCs/>
      <w:smallCaps/>
      <w:color w:val="104862" w:themeColor="accent1" w:themeShade="BF"/>
      <w:spacing w:val="5"/>
    </w:rPr>
  </w:style>
  <w:style w:type="paragraph" w:customStyle="1" w:styleId="39">
    <w:name w:val="微软雅黑间隔合适"/>
    <w:basedOn w:val="1"/>
    <w:link w:val="40"/>
    <w:qFormat/>
    <w:uiPriority w:val="0"/>
    <w:pPr>
      <w:adjustRightInd w:val="0"/>
      <w:spacing w:after="0" w:line="240" w:lineRule="auto"/>
    </w:pPr>
    <w:rPr>
      <w:rFonts w:ascii="微软雅黑" w:hAnsi="微软雅黑" w:eastAsia="微软雅黑" w:cs="Arial"/>
      <w:color w:val="000000"/>
      <w:szCs w:val="22"/>
      <w:shd w:val="clear" w:color="auto" w:fill="FFFFFF"/>
      <w14:ligatures w14:val="none"/>
    </w:rPr>
  </w:style>
  <w:style w:type="character" w:customStyle="1" w:styleId="40">
    <w:name w:val="微软雅黑间隔合适 Char"/>
    <w:basedOn w:val="19"/>
    <w:link w:val="39"/>
    <w:qFormat/>
    <w:uiPriority w:val="0"/>
    <w:rPr>
      <w:rFonts w:ascii="微软雅黑" w:hAnsi="微软雅黑" w:eastAsia="微软雅黑" w:cs="Arial"/>
      <w:color w:val="000000"/>
      <w:szCs w:val="22"/>
      <w14:ligatures w14:val="none"/>
    </w:rPr>
  </w:style>
  <w:style w:type="character" w:customStyle="1" w:styleId="41">
    <w:name w:val="页眉 字符"/>
    <w:basedOn w:val="19"/>
    <w:link w:val="13"/>
    <w:qFormat/>
    <w:uiPriority w:val="99"/>
    <w:rPr>
      <w:rFonts w:eastAsia="思源黑体 CN Normal"/>
      <w:sz w:val="18"/>
      <w:szCs w:val="18"/>
    </w:rPr>
  </w:style>
  <w:style w:type="character" w:customStyle="1" w:styleId="42">
    <w:name w:val="页脚 字符"/>
    <w:basedOn w:val="19"/>
    <w:link w:val="12"/>
    <w:qFormat/>
    <w:uiPriority w:val="99"/>
    <w:rPr>
      <w:rFonts w:eastAsia="思源黑体 CN Normal"/>
      <w:sz w:val="18"/>
      <w:szCs w:val="18"/>
    </w:rPr>
  </w:style>
  <w:style w:type="table" w:customStyle="1" w:styleId="43">
    <w:name w:val="网格表 2 - 着色 11"/>
    <w:basedOn w:val="17"/>
    <w:qFormat/>
    <w:uiPriority w:val="47"/>
    <w:tblPr>
      <w:tblBorders>
        <w:top w:val="single" w:color="45B0E1" w:themeColor="accent1" w:themeTint="99" w:sz="2" w:space="0"/>
        <w:bottom w:val="single" w:color="45B0E1" w:themeColor="accent1" w:themeTint="99" w:sz="2" w:space="0"/>
        <w:insideH w:val="single" w:color="45B0E1" w:themeColor="accent1" w:themeTint="99" w:sz="2" w:space="0"/>
        <w:insideV w:val="single" w:color="45B0E1" w:themeColor="accent1" w:themeTint="99" w:sz="2" w:space="0"/>
      </w:tblBorders>
    </w:tblPr>
    <w:tblStylePr w:type="firstRow">
      <w:rPr>
        <w:b/>
        <w:bCs/>
      </w:rPr>
      <w:tcPr>
        <w:tcBorders>
          <w:top w:val="nil"/>
          <w:bottom w:val="single" w:color="45B0E1" w:themeColor="accent1" w:themeTint="99" w:sz="12" w:space="0"/>
          <w:insideH w:val="nil"/>
          <w:insideV w:val="nil"/>
        </w:tcBorders>
        <w:shd w:val="clear" w:color="auto" w:fill="FFFFFF" w:themeFill="background1"/>
      </w:tcPr>
    </w:tblStylePr>
    <w:tblStylePr w:type="lastRow">
      <w:rPr>
        <w:b/>
        <w:bCs/>
      </w:rPr>
      <w:tcPr>
        <w:tcBorders>
          <w:top w:val="double" w:color="45B0E1"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1E4F5" w:themeFill="accent1" w:themeFillTint="33"/>
      </w:tcPr>
    </w:tblStylePr>
    <w:tblStylePr w:type="band1Horz">
      <w:tcPr>
        <w:shd w:val="clear" w:color="auto" w:fill="C1E4F5" w:themeFill="accent1" w:themeFillTint="33"/>
      </w:tcPr>
    </w:tblStylePr>
  </w:style>
  <w:style w:type="table" w:customStyle="1" w:styleId="44">
    <w:name w:val="清单表 4 - 着色 11"/>
    <w:basedOn w:val="17"/>
    <w:qFormat/>
    <w:uiPriority w:val="49"/>
    <w:tblP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tblBorders>
    </w:tblPr>
    <w:tblStylePr w:type="firstRow">
      <w:rPr>
        <w:b/>
        <w:bCs/>
        <w:color w:val="FFFFFF" w:themeColor="background1"/>
        <w14:textFill>
          <w14:solidFill>
            <w14:schemeClr w14:val="bg1"/>
          </w14:solidFill>
        </w14:textFill>
      </w:r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tcBorders>
        <w:shd w:val="clear" w:color="auto" w:fill="156082" w:themeFill="accent1"/>
      </w:tcPr>
    </w:tblStylePr>
    <w:tblStylePr w:type="lastRow">
      <w:rPr>
        <w:b/>
        <w:bCs/>
      </w:rPr>
      <w:tcPr>
        <w:tcBorders>
          <w:top w:val="double" w:color="45B0E1" w:themeColor="accent1" w:themeTint="99" w:sz="4" w:space="0"/>
        </w:tcBorders>
      </w:tcPr>
    </w:tblStylePr>
    <w:tblStylePr w:type="firstCol">
      <w:rPr>
        <w:b/>
        <w:bCs/>
      </w:rPr>
    </w:tblStylePr>
    <w:tblStylePr w:type="lastCol">
      <w:rPr>
        <w:b/>
        <w:bCs/>
      </w:rPr>
    </w:tblStylePr>
    <w:tblStylePr w:type="band1Vert">
      <w:tcPr>
        <w:shd w:val="clear" w:color="auto" w:fill="C1E4F5" w:themeFill="accent1" w:themeFillTint="33"/>
      </w:tcPr>
    </w:tblStylePr>
    <w:tblStylePr w:type="band1Horz">
      <w:tcPr>
        <w:shd w:val="clear" w:color="auto" w:fill="C1E4F5" w:themeFill="accent1" w:themeFillTint="33"/>
      </w:tcPr>
    </w:tblStylePr>
  </w:style>
  <w:style w:type="table" w:customStyle="1" w:styleId="45">
    <w:name w:val="清单表 3 - 着色 11"/>
    <w:basedOn w:val="17"/>
    <w:qFormat/>
    <w:uiPriority w:val="48"/>
    <w:tblPr>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14:textFill>
          <w14:solidFill>
            <w14:schemeClr w14:val="bg1"/>
          </w14:solidFill>
        </w14:textFill>
      </w:rPr>
      <w:tcPr>
        <w:shd w:val="clear" w:color="auto" w:fill="156082" w:themeFill="accent1"/>
      </w:tcPr>
    </w:tblStylePr>
    <w:tblStylePr w:type="lastRow">
      <w:rPr>
        <w:b/>
        <w:bCs/>
      </w:rPr>
      <w:tcPr>
        <w:tcBorders>
          <w:top w:val="double" w:color="156082" w:themeColor="accen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156082" w:themeColor="accent1" w:sz="4" w:space="0"/>
          <w:right w:val="single" w:color="156082" w:themeColor="accent1" w:sz="4" w:space="0"/>
        </w:tcBorders>
      </w:tcPr>
    </w:tblStylePr>
    <w:tblStylePr w:type="band1Horz">
      <w:tcPr>
        <w:tcBorders>
          <w:top w:val="single" w:color="156082" w:themeColor="accent1" w:sz="4" w:space="0"/>
          <w:bottom w:val="single" w:color="156082" w:themeColor="accen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156082" w:themeColor="accent1" w:sz="4" w:space="0"/>
          <w:left w:val="nil"/>
        </w:tcBorders>
      </w:tcPr>
    </w:tblStylePr>
    <w:tblStylePr w:type="swCell">
      <w:tcPr>
        <w:tcBorders>
          <w:top w:val="double" w:color="156082" w:themeColor="accent1" w:sz="4" w:space="0"/>
          <w:right w:val="nil"/>
        </w:tcBorders>
      </w:tcPr>
    </w:tblStylePr>
  </w:style>
  <w:style w:type="table" w:customStyle="1" w:styleId="46">
    <w:name w:val="网格表 4 - 着色 11"/>
    <w:basedOn w:val="17"/>
    <w:qFormat/>
    <w:uiPriority w:val="49"/>
    <w:tblPr>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14:textFill>
          <w14:solidFill>
            <w14:schemeClr w14:val="bg1"/>
          </w14:solidFill>
        </w14:textFill>
      </w:r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cPr>
        <w:tcBorders>
          <w:top w:val="double" w:color="156082" w:themeColor="accent1" w:sz="4" w:space="0"/>
        </w:tcBorders>
      </w:tcPr>
    </w:tblStylePr>
    <w:tblStylePr w:type="firstCol">
      <w:rPr>
        <w:b/>
        <w:bCs/>
      </w:rPr>
    </w:tblStylePr>
    <w:tblStylePr w:type="lastCol">
      <w:rPr>
        <w:b/>
        <w:bCs/>
      </w:rPr>
    </w:tblStylePr>
    <w:tblStylePr w:type="band1Vert">
      <w:tcPr>
        <w:shd w:val="clear" w:color="auto" w:fill="C1E4F5" w:themeFill="accent1" w:themeFillTint="33"/>
      </w:tcPr>
    </w:tblStylePr>
    <w:tblStylePr w:type="band1Horz">
      <w:tcPr>
        <w:shd w:val="clear" w:color="auto" w:fill="C1E4F5" w:themeFill="accent1" w:themeFillTint="33"/>
      </w:tcPr>
    </w:tblStylePr>
  </w:style>
  <w:style w:type="table" w:customStyle="1" w:styleId="47">
    <w:name w:val="网格表 5 深色 - 着色 11"/>
    <w:basedOn w:val="17"/>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cPr>
        <w:shd w:val="clear" w:color="auto" w:fill="83CAEB" w:themeFill="accent1" w:themeFillTint="66"/>
      </w:tcPr>
    </w:tblStylePr>
    <w:tblStylePr w:type="band1Horz">
      <w:tcPr>
        <w:shd w:val="clear" w:color="auto" w:fill="83CAEB" w:themeFill="accent1" w:themeFillTint="66"/>
      </w:tcPr>
    </w:tblStylePr>
  </w:style>
  <w:style w:type="paragraph" w:customStyle="1" w:styleId="48">
    <w:name w:val="修订1"/>
    <w:hidden/>
    <w:semiHidden/>
    <w:qFormat/>
    <w:uiPriority w:val="99"/>
    <w:rPr>
      <w:rFonts w:eastAsia="思源黑体 CN Normal" w:asciiTheme="minorHAnsi" w:hAnsiTheme="minorHAnsi" w:cstheme="minorBidi"/>
      <w:kern w:val="2"/>
      <w:sz w:val="22"/>
      <w:szCs w:val="24"/>
      <w:lang w:val="en-US" w:eastAsia="zh-CN" w:bidi="ar-SA"/>
      <w14:ligatures w14:val="standardContextual"/>
    </w:rPr>
  </w:style>
  <w:style w:type="paragraph" w:customStyle="1" w:styleId="49">
    <w:name w:val="ds-markdown-paragraph"/>
    <w:basedOn w:val="1"/>
    <w:qFormat/>
    <w:uiPriority w:val="0"/>
    <w:pPr>
      <w:widowControl/>
      <w:snapToGrid/>
      <w:spacing w:before="100" w:beforeAutospacing="1" w:after="100" w:afterAutospacing="1" w:line="240" w:lineRule="auto"/>
      <w:contextualSpacing w:val="0"/>
    </w:pPr>
    <w:rPr>
      <w:rFonts w:ascii="宋体" w:hAnsi="宋体" w:eastAsia="宋体" w:cs="宋体"/>
      <w:kern w:val="0"/>
      <w:sz w:val="24"/>
      <w14:ligatures w14: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7</Pages>
  <Words>3844</Words>
  <Characters>3950</Characters>
  <Lines>172</Lines>
  <Paragraphs>156</Paragraphs>
  <TotalTime>1</TotalTime>
  <ScaleCrop>false</ScaleCrop>
  <LinksUpToDate>false</LinksUpToDate>
  <CharactersWithSpaces>4008</CharactersWithSpaces>
  <Application>WPS Office_11.1.0.14252_F1E327BC-269C-435d-A152-05C5408002CA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2026-01-23T04:32:00Z</dcterms:created>
  <dc:creator>Yijia Fu</dc:creator>
  <cp:lastModifiedBy>雨木</cp:lastModifiedBy>
  <cp:lastPrinted>2026-01-23T06:48:00Z</cp:lastPrinted>
  <dcterms:modified xsi:type="dcterms:W3CDTF">2026-09-10T02:10:26Z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94db43ac-f404-4ecb-a3a1-a91de420bd1b</vt:lpwstr>
  </property>
  <property fmtid="{D5CDD505-2E9C-101B-9397-08002B2CF9AE}" pid="3" name="KSOTemplateDocerSaveRecord">
    <vt:lpwstr>eyJoZGlkIjoiOTYxYTVhZDZkOTg3MGMxZWU2OGQ5YzMzY2RmZWNmMzUiLCJ1c2VySWQiOiI0MzExNDQ4MTgifQ==</vt:lpwstr>
  </property>
  <property fmtid="{D5CDD505-2E9C-101B-9397-08002B2CF9AE}" pid="4" name="KSOProductBuildVer">
    <vt:lpwstr>2052-11.1.0.14252</vt:lpwstr>
  </property>
  <property fmtid="{D5CDD505-2E9C-101B-9397-08002B2CF9AE}" pid="5" name="ICV">
    <vt:lpwstr>043C723718D640349A3E6B551DF9453B_12</vt:lpwstr>
  </property>
</Properties>
</file>