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C3C411">
      <w:pPr>
        <w:spacing w:line="240" w:lineRule="auto"/>
        <w:ind w:firstLine="0" w:firstLineChars="0"/>
        <w:jc w:val="center"/>
        <w:rPr>
          <w:rFonts w:ascii="黑体" w:hAnsi="黑体" w:eastAsia="黑体"/>
          <w:b/>
          <w:bCs/>
          <w:spacing w:val="80"/>
          <w:sz w:val="36"/>
          <w:szCs w:val="32"/>
        </w:rPr>
      </w:pPr>
      <w:r>
        <w:rPr>
          <w:rFonts w:ascii="黑体" w:hAnsi="黑体" w:eastAsia="黑体"/>
          <w:b/>
          <w:bCs/>
          <w:spacing w:val="80"/>
          <w:sz w:val="36"/>
          <w:szCs w:val="32"/>
        </w:rPr>
        <w:t>新加坡科技设计大学</w:t>
      </w:r>
    </w:p>
    <w:p w14:paraId="609E841E">
      <w:pPr>
        <w:spacing w:line="240" w:lineRule="auto"/>
        <w:ind w:firstLine="0" w:firstLineChars="0"/>
        <w:jc w:val="center"/>
        <w:rPr>
          <w:rFonts w:ascii="黑体" w:hAnsi="黑体" w:eastAsia="黑体"/>
          <w:b/>
          <w:bCs/>
          <w:spacing w:val="80"/>
          <w:sz w:val="36"/>
          <w:szCs w:val="144"/>
        </w:rPr>
      </w:pPr>
      <w:r>
        <w:rPr>
          <w:rFonts w:ascii="黑体" w:hAnsi="黑体" w:eastAsia="黑体"/>
          <w:b/>
          <w:bCs/>
          <w:spacing w:val="80"/>
          <w:sz w:val="36"/>
          <w:szCs w:val="32"/>
        </w:rPr>
        <w:t>科技与设计</w:t>
      </w:r>
      <w:r>
        <w:rPr>
          <w:rFonts w:hint="eastAsia" w:ascii="黑体" w:hAnsi="黑体" w:eastAsia="黑体"/>
          <w:b/>
          <w:bCs/>
          <w:spacing w:val="80"/>
          <w:sz w:val="36"/>
          <w:szCs w:val="32"/>
          <w:lang w:val="en-US" w:eastAsia="zh-CN"/>
        </w:rPr>
        <w:t>理学</w:t>
      </w:r>
      <w:r>
        <w:rPr>
          <w:rFonts w:ascii="黑体" w:hAnsi="黑体" w:eastAsia="黑体"/>
          <w:b/>
          <w:bCs/>
          <w:spacing w:val="80"/>
          <w:sz w:val="36"/>
          <w:szCs w:val="32"/>
        </w:rPr>
        <w:t>硕士项目报名通知</w:t>
      </w:r>
    </w:p>
    <w:p w14:paraId="6E732F88">
      <w:pPr>
        <w:pStyle w:val="2"/>
        <w:ind w:firstLine="640"/>
        <w:rPr>
          <w:rStyle w:val="11"/>
          <w:rFonts w:ascii="Times New Roman" w:hAnsi="Times New Roman" w:cs="Times New Roman"/>
          <w:b/>
          <w:bCs/>
        </w:rPr>
      </w:pPr>
      <w:r>
        <w:rPr>
          <w:rStyle w:val="11"/>
          <w:rFonts w:hint="eastAsia" w:ascii="Times New Roman" w:hAnsi="Times New Roman" w:cs="Times New Roman"/>
          <w:b/>
          <w:bCs/>
        </w:rPr>
        <w:t>一、</w:t>
      </w:r>
      <w:r>
        <w:rPr>
          <w:rStyle w:val="11"/>
          <w:rFonts w:ascii="Times New Roman" w:hAnsi="Times New Roman" w:cs="Times New Roman"/>
          <w:b/>
          <w:bCs/>
        </w:rPr>
        <w:t>学校</w:t>
      </w:r>
      <w:r>
        <w:rPr>
          <w:rStyle w:val="11"/>
          <w:rFonts w:hint="eastAsia" w:ascii="Times New Roman" w:hAnsi="Times New Roman" w:cs="Times New Roman"/>
          <w:b/>
          <w:bCs/>
        </w:rPr>
        <w:t>特色</w:t>
      </w:r>
    </w:p>
    <w:p w14:paraId="2B36B8B2">
      <w:pPr>
        <w:pStyle w:val="3"/>
        <w:ind w:firstLine="602"/>
      </w:pPr>
      <w:r>
        <w:rPr>
          <w:rFonts w:hint="eastAsia"/>
        </w:rPr>
        <w:t xml:space="preserve">城市国家底色 </w:t>
      </w:r>
    </w:p>
    <w:p w14:paraId="4976CD0D">
      <w:pPr>
        <w:ind w:firstLine="480"/>
      </w:pPr>
      <w:r>
        <w:rPr>
          <w:rFonts w:hint="eastAsia"/>
        </w:rPr>
        <w:t>作为一个花园城市国家，新加坡融合了东西方文化精粹，被誉为亚洲的璀璨明珠。在这里，传统的亚洲价值观与现代西方理念和谐共存，展现了与众不同的亚洲面貌。作为全球重要的金融、科技和文化的中心，新加坡坚实的教育基础为各国商务人士和学子提供了无限的机会与可能。此外，其在教育、科研和技术领域的杰出成就也不断吸引着众多渴望探索、挑战与创新的国际才俊。</w:t>
      </w:r>
    </w:p>
    <w:p w14:paraId="4F540233">
      <w:pPr>
        <w:pStyle w:val="3"/>
        <w:ind w:firstLine="602"/>
      </w:pPr>
      <w:r>
        <w:rPr>
          <w:rFonts w:hint="eastAsia"/>
        </w:rPr>
        <w:t>多元融合背景</w:t>
      </w:r>
    </w:p>
    <w:p w14:paraId="24615D8C">
      <w:pPr>
        <w:shd w:val="clear"/>
        <w:ind w:firstLine="480"/>
      </w:pPr>
      <w:r>
        <w:rPr>
          <w:rFonts w:hint="eastAsia"/>
        </w:rPr>
        <w:t>为了满足全球对创新技术和设计源源不断的需求，新加坡科技设计大学（Singapore University of Technology and Design, 简称 SUTD）应运而生。作为新加坡第四所公立大学，SUTD由麻省理工学院（MIT）合作创建，并与浙江大学（ZJU）和芬兰阿尔托大学（Aalto University）保持紧密的战略合作关系。SUTD的</w:t>
      </w:r>
      <w:r>
        <w:t>创校校长为麻省理工学院工学院院长</w:t>
      </w:r>
      <w:r>
        <w:rPr>
          <w:shd w:val="clear"/>
        </w:rPr>
        <w:t>托</w:t>
      </w:r>
      <w:r>
        <w:rPr>
          <w:rFonts w:hint="eastAsia"/>
          <w:shd w:val="clear"/>
          <w:lang w:val="en-US" w:eastAsia="zh-CN"/>
        </w:rPr>
        <w:t>马</w:t>
      </w:r>
      <w:r>
        <w:rPr>
          <w:shd w:val="clear"/>
        </w:rPr>
        <w:t>斯·L·马尼安提</w:t>
      </w:r>
      <w:r>
        <w:t>（Thomas L</w:t>
      </w:r>
      <w:r>
        <w:rPr>
          <w:rFonts w:hint="eastAsia"/>
        </w:rPr>
        <w:t>.</w:t>
      </w:r>
      <w:r>
        <w:t xml:space="preserve"> Ma</w:t>
      </w:r>
      <w:r>
        <w:rPr>
          <w:rFonts w:hint="eastAsia"/>
        </w:rPr>
        <w:t>g</w:t>
      </w:r>
      <w:r>
        <w:t>nanti）教授。</w:t>
      </w:r>
      <w:r>
        <w:rPr>
          <w:rFonts w:hint="eastAsia"/>
        </w:rPr>
        <w:t>SUTD 不仅是世界上最早将设计与技术的艺术和科学纳入多学科课程的大学之一，也是一所专注设计与创新研究、和工程领域的新概念大学</w:t>
      </w:r>
      <w:r>
        <w:t>，致力于培养具有国际视野和领导才能的复合型人才</w:t>
      </w:r>
      <w:r>
        <w:rPr>
          <w:rFonts w:hint="eastAsia"/>
        </w:rPr>
        <w:t>。</w:t>
      </w:r>
    </w:p>
    <w:p w14:paraId="1F8FBF6F">
      <w:pPr>
        <w:pStyle w:val="3"/>
        <w:shd w:val="clear"/>
        <w:ind w:firstLine="602"/>
      </w:pPr>
      <w:r>
        <w:rPr>
          <w:rFonts w:hint="eastAsia"/>
        </w:rPr>
        <w:t>世界级影响力</w:t>
      </w:r>
    </w:p>
    <w:p w14:paraId="5239152A">
      <w:pPr>
        <w:shd w:val="clear"/>
        <w:ind w:firstLine="480"/>
      </w:pPr>
      <w:r>
        <w:rPr>
          <w:rFonts w:hint="eastAsia"/>
        </w:rPr>
        <w:t>作为一所年轻的大学，SUTD 不仅受到各界的广泛认可，也取得了诸多优异成绩，</w:t>
      </w:r>
      <w:r>
        <w:t>成为亚洲地区一所备受瞩目的高等教育机构</w:t>
      </w:r>
      <w:r>
        <w:rPr>
          <w:rFonts w:hint="eastAsia"/>
        </w:rPr>
        <w:t>。在 2018年MIT发布的“全球前沿工程教育”研究</w:t>
      </w:r>
      <w:r>
        <w:rPr>
          <w:rStyle w:val="13"/>
        </w:rPr>
        <w:footnoteReference w:id="0"/>
      </w:r>
      <w:r>
        <w:rPr>
          <w:rFonts w:hint="eastAsia"/>
        </w:rPr>
        <w:t>中 ，SUTD 在全球新兴工程学府排行榜中名列前茅；</w:t>
      </w:r>
      <w:r>
        <w:t>在“通信领域全球最具影响力研究机构”中超过普林斯顿大学和卡耐基梅隆大学位列全球第五，是前十名中仅有的一所非美国的研究机构。此外，学校在工程、设计、建筑等多个领域均取得了较高的排名，充分展示专业领域的实力和影响力。</w:t>
      </w:r>
    </w:p>
    <w:p w14:paraId="7A29462B">
      <w:pPr>
        <w:pStyle w:val="3"/>
        <w:shd w:val="clear"/>
        <w:ind w:firstLine="602"/>
      </w:pPr>
      <w:r>
        <w:t>师资力量雄厚</w:t>
      </w:r>
    </w:p>
    <w:p w14:paraId="085086E0">
      <w:pPr>
        <w:shd w:val="clear"/>
        <w:ind w:firstLine="480"/>
      </w:pPr>
      <w:r>
        <w:t>SUTD拥有一批在国际上享有声誉的教授和专家，据斯坦福大学John P.A.</w:t>
      </w:r>
      <w:r>
        <w:rPr>
          <w:rFonts w:hint="eastAsia"/>
        </w:rPr>
        <w:t xml:space="preserve"> </w:t>
      </w:r>
      <w:r>
        <w:t>Ioannidis 教授团队最新发布的全球前2%顶尖科学家榜单，29%的SUTD教职员工跻身世界前2%顶尖科学家。</w:t>
      </w:r>
      <w:r>
        <w:rPr>
          <w:rFonts w:hint="eastAsia"/>
        </w:rPr>
        <w:t>学校各大研究中心、实验室和测试平台可以为学生的实践应用提供尖端的设备基础和世界一流的技术支持，致力进一步推动知识革新，并通过设计创造一个更美好的世界。</w:t>
      </w:r>
    </w:p>
    <w:p w14:paraId="0E96D65D">
      <w:pPr>
        <w:pStyle w:val="2"/>
        <w:shd w:val="clear"/>
        <w:ind w:firstLine="643"/>
      </w:pPr>
      <w:r>
        <w:rPr>
          <w:rFonts w:hint="eastAsia"/>
        </w:rPr>
        <w:t>二、硕士项目方向</w:t>
      </w:r>
    </w:p>
    <w:p w14:paraId="1058D085">
      <w:pPr>
        <w:shd w:val="clear"/>
        <w:ind w:firstLine="480"/>
        <w:rPr>
          <w:rStyle w:val="11"/>
          <w:b w:val="0"/>
          <w:bCs w:val="0"/>
        </w:rPr>
      </w:pPr>
      <w:r>
        <w:rPr>
          <w:rStyle w:val="11"/>
          <w:rFonts w:hint="eastAsia"/>
          <w:b w:val="0"/>
          <w:bCs w:val="0"/>
        </w:rPr>
        <w:t>科技与设计理学硕士（Master of Science in Technology and Design，简称MTD）项目，结合了科技、设计和管理，旨在培养能够在快速变化的全球环境中引领创新的领导者。</w:t>
      </w:r>
    </w:p>
    <w:p w14:paraId="35F475FA">
      <w:pPr>
        <w:shd w:val="clear"/>
        <w:ind w:firstLine="480"/>
        <w:rPr>
          <w:rStyle w:val="11"/>
          <w:b w:val="0"/>
          <w:bCs w:val="0"/>
        </w:rPr>
      </w:pPr>
      <w:r>
        <w:rPr>
          <w:rStyle w:val="11"/>
          <w:rFonts w:hint="eastAsia"/>
          <w:b w:val="0"/>
          <w:bCs w:val="0"/>
        </w:rPr>
        <w:t>截止目前，MTD项目下共设有九大</w:t>
      </w:r>
      <w:r>
        <w:rPr>
          <w:rStyle w:val="11"/>
          <w:b w:val="0"/>
          <w:bCs w:val="0"/>
        </w:rPr>
        <w:t>培养方向</w:t>
      </w:r>
      <w:r>
        <w:rPr>
          <w:rStyle w:val="11"/>
          <w:rFonts w:hint="eastAsia"/>
          <w:b w:val="0"/>
          <w:bCs w:val="0"/>
        </w:rPr>
        <w:t>，以满足不同专业深造需求：</w:t>
      </w:r>
    </w:p>
    <w:p w14:paraId="7C3BC79A">
      <w:pPr>
        <w:shd w:val="clear"/>
        <w:ind w:firstLine="480"/>
        <w:rPr>
          <w:rStyle w:val="11"/>
          <w:b w:val="0"/>
          <w:bCs w:val="0"/>
        </w:rPr>
      </w:pPr>
      <w:r>
        <w:rPr>
          <w:rStyle w:val="11"/>
          <w:rFonts w:hint="eastAsia"/>
          <w:b w:val="0"/>
          <w:bCs w:val="0"/>
        </w:rPr>
        <w:t>（1）</w:t>
      </w:r>
      <w:r>
        <w:rPr>
          <w:rStyle w:val="11"/>
          <w:rFonts w:hint="eastAsia"/>
        </w:rPr>
        <w:t>网络安全设计</w:t>
      </w:r>
      <w:r>
        <w:rPr>
          <w:rStyle w:val="11"/>
          <w:rFonts w:hint="eastAsia"/>
          <w:b w:val="0"/>
          <w:bCs w:val="0"/>
        </w:rPr>
        <w:t>（CyberSecurity）：掌握网络安全要点以实现强大的数字防御；</w:t>
      </w:r>
    </w:p>
    <w:p w14:paraId="4C829C64">
      <w:pPr>
        <w:shd w:val="clear"/>
        <w:ind w:firstLine="480"/>
        <w:rPr>
          <w:rStyle w:val="11"/>
          <w:b w:val="0"/>
          <w:bCs w:val="0"/>
        </w:rPr>
      </w:pPr>
      <w:r>
        <w:rPr>
          <w:rStyle w:val="11"/>
          <w:rFonts w:hint="eastAsia"/>
          <w:b w:val="0"/>
          <w:bCs w:val="0"/>
        </w:rPr>
        <w:t>（2）</w:t>
      </w:r>
      <w:r>
        <w:rPr>
          <w:rStyle w:val="11"/>
          <w:rFonts w:hint="eastAsia"/>
        </w:rPr>
        <w:t>可持续产品设计</w:t>
      </w:r>
      <w:r>
        <w:rPr>
          <w:rStyle w:val="11"/>
          <w:rFonts w:hint="eastAsia"/>
          <w:b w:val="0"/>
          <w:bCs w:val="0"/>
        </w:rPr>
        <w:t>（Sustainable Product Design）：探索可持续设计原则并创造生态意识产品；</w:t>
      </w:r>
    </w:p>
    <w:p w14:paraId="0F59C6E2">
      <w:pPr>
        <w:shd w:val="clear"/>
        <w:ind w:firstLine="480"/>
        <w:rPr>
          <w:rStyle w:val="11"/>
          <w:b w:val="0"/>
          <w:bCs w:val="0"/>
        </w:rPr>
      </w:pPr>
      <w:r>
        <w:rPr>
          <w:rStyle w:val="11"/>
          <w:rFonts w:hint="eastAsia"/>
          <w:b w:val="0"/>
          <w:bCs w:val="0"/>
        </w:rPr>
        <w:t>（3）</w:t>
      </w:r>
      <w:r>
        <w:rPr>
          <w:rStyle w:val="11"/>
          <w:rFonts w:hint="eastAsia"/>
        </w:rPr>
        <w:t>人工智能与建筑环境</w:t>
      </w:r>
      <w:r>
        <w:rPr>
          <w:rStyle w:val="11"/>
          <w:rFonts w:hint="eastAsia"/>
          <w:b w:val="0"/>
          <w:bCs w:val="0"/>
        </w:rPr>
        <w:t>（</w:t>
      </w:r>
      <w:r>
        <w:t>AI Empowered Built Environment</w:t>
      </w:r>
      <w:r>
        <w:rPr>
          <w:rStyle w:val="11"/>
          <w:rFonts w:hint="eastAsia"/>
          <w:b w:val="0"/>
          <w:bCs w:val="0"/>
        </w:rPr>
        <w:t>）：关注现代可持续城市发展所需的前沿工具和技术的发展和应用，探索人工智能在塑造建筑设计方面的能力；</w:t>
      </w:r>
    </w:p>
    <w:p w14:paraId="6A3477C4">
      <w:pPr>
        <w:shd w:val="clear"/>
        <w:ind w:firstLine="480"/>
        <w:rPr>
          <w:rStyle w:val="11"/>
          <w:b w:val="0"/>
          <w:bCs w:val="0"/>
        </w:rPr>
      </w:pPr>
      <w:r>
        <w:rPr>
          <w:rStyle w:val="11"/>
          <w:rFonts w:hint="eastAsia"/>
          <w:b w:val="0"/>
          <w:bCs w:val="0"/>
        </w:rPr>
        <w:t>（4）</w:t>
      </w:r>
      <w:r>
        <w:rPr>
          <w:rStyle w:val="11"/>
          <w:rFonts w:hint="eastAsia"/>
        </w:rPr>
        <w:t>机器人及自动化</w:t>
      </w:r>
      <w:r>
        <w:rPr>
          <w:rStyle w:val="11"/>
          <w:rFonts w:hint="eastAsia"/>
          <w:b w:val="0"/>
          <w:bCs w:val="0"/>
        </w:rPr>
        <w:t>（</w:t>
      </w:r>
      <w:r>
        <w:t>Robotics &amp; Automation</w:t>
      </w:r>
      <w:r>
        <w:rPr>
          <w:rStyle w:val="11"/>
          <w:rFonts w:hint="eastAsia"/>
          <w:b w:val="0"/>
          <w:bCs w:val="0"/>
        </w:rPr>
        <w:t>）：呈现新兴机器人技术发展的前沿趋势，激发潜能，引领智能机器的革新潮流；</w:t>
      </w:r>
    </w:p>
    <w:p w14:paraId="0698DE8F">
      <w:pPr>
        <w:shd w:val="clear"/>
        <w:ind w:firstLine="480"/>
        <w:rPr>
          <w:rStyle w:val="11"/>
          <w:rFonts w:hint="eastAsia" w:eastAsia="仿宋"/>
          <w:b w:val="0"/>
          <w:bCs w:val="0"/>
          <w:shd w:val="clear"/>
          <w:lang w:eastAsia="zh-CN"/>
        </w:rPr>
      </w:pPr>
      <w:r>
        <w:rPr>
          <w:rStyle w:val="11"/>
          <w:rFonts w:hint="eastAsia"/>
          <w:b w:val="0"/>
          <w:bCs w:val="0"/>
        </w:rPr>
        <w:t>（5）</w:t>
      </w:r>
      <w:r>
        <w:rPr>
          <w:rStyle w:val="11"/>
          <w:rFonts w:hint="eastAsia"/>
        </w:rPr>
        <w:t>医疗科技创新</w:t>
      </w:r>
      <w:r>
        <w:rPr>
          <w:rStyle w:val="11"/>
          <w:rFonts w:hint="eastAsia"/>
          <w:b w:val="0"/>
          <w:bCs w:val="0"/>
        </w:rPr>
        <w:t>（</w:t>
      </w:r>
      <w:r>
        <w:t>HealthTech Innovation</w:t>
      </w:r>
      <w:r>
        <w:rPr>
          <w:rStyle w:val="11"/>
          <w:rFonts w:hint="eastAsia"/>
          <w:b w:val="0"/>
          <w:bCs w:val="0"/>
        </w:rPr>
        <w:t>）：整合先进技术与医学实践实现更智能、高效、可持续的</w:t>
      </w:r>
      <w:r>
        <w:rPr>
          <w:rStyle w:val="11"/>
          <w:rFonts w:hint="eastAsia"/>
          <w:b w:val="0"/>
          <w:bCs w:val="0"/>
          <w:shd w:val="clear"/>
        </w:rPr>
        <w:t>医疗服务</w:t>
      </w:r>
      <w:r>
        <w:rPr>
          <w:rStyle w:val="11"/>
          <w:rFonts w:hint="eastAsia"/>
          <w:b w:val="0"/>
          <w:bCs w:val="0"/>
          <w:shd w:val="clear"/>
          <w:lang w:eastAsia="zh-CN"/>
        </w:rPr>
        <w:t>；</w:t>
      </w:r>
    </w:p>
    <w:p w14:paraId="67435104">
      <w:pPr>
        <w:shd w:val="clear"/>
        <w:ind w:firstLine="480"/>
        <w:rPr>
          <w:rStyle w:val="11"/>
          <w:b w:val="0"/>
          <w:bCs w:val="0"/>
        </w:rPr>
      </w:pPr>
      <w:r>
        <w:rPr>
          <w:rStyle w:val="11"/>
          <w:rFonts w:hint="eastAsia"/>
          <w:b w:val="0"/>
          <w:bCs w:val="0"/>
        </w:rPr>
        <w:t>（6）</w:t>
      </w:r>
      <w:r>
        <w:rPr>
          <w:rStyle w:val="11"/>
          <w:rFonts w:hint="eastAsia"/>
        </w:rPr>
        <w:t>数据科学</w:t>
      </w:r>
      <w:r>
        <w:rPr>
          <w:rStyle w:val="11"/>
          <w:rFonts w:hint="eastAsia"/>
          <w:b w:val="0"/>
          <w:bCs w:val="0"/>
        </w:rPr>
        <w:t>（</w:t>
      </w:r>
      <w:r>
        <w:t>Data Science</w:t>
      </w:r>
      <w:r>
        <w:rPr>
          <w:rStyle w:val="11"/>
          <w:rFonts w:hint="eastAsia"/>
          <w:b w:val="0"/>
          <w:bCs w:val="0"/>
        </w:rPr>
        <w:t>）：踏上数据驱动领域的变革之旅；</w:t>
      </w:r>
    </w:p>
    <w:p w14:paraId="3B8A6677">
      <w:pPr>
        <w:shd w:val="clear"/>
        <w:ind w:firstLine="480"/>
        <w:rPr>
          <w:rStyle w:val="11"/>
          <w:b w:val="0"/>
          <w:bCs w:val="0"/>
        </w:rPr>
      </w:pPr>
      <w:r>
        <w:rPr>
          <w:rStyle w:val="11"/>
          <w:rFonts w:hint="eastAsia"/>
          <w:b w:val="0"/>
          <w:bCs w:val="0"/>
        </w:rPr>
        <w:t>（7）</w:t>
      </w:r>
      <w:r>
        <w:rPr>
          <w:rStyle w:val="11"/>
          <w:rFonts w:hint="eastAsia"/>
        </w:rPr>
        <w:t>高级</w:t>
      </w:r>
      <w:r>
        <w:rPr>
          <w:rStyle w:val="11"/>
          <w:rFonts w:hint="eastAsia"/>
          <w:lang w:val="en-US" w:eastAsia="zh-CN"/>
        </w:rPr>
        <w:t>集成电路设计与技术</w:t>
      </w:r>
      <w:r>
        <w:rPr>
          <w:rStyle w:val="11"/>
          <w:rFonts w:hint="eastAsia"/>
          <w:b w:val="0"/>
          <w:bCs w:val="0"/>
        </w:rPr>
        <w:t>（</w:t>
      </w:r>
      <w:r>
        <w:t>Advanced IC Design and Technology</w:t>
      </w:r>
      <w:r>
        <w:rPr>
          <w:rStyle w:val="11"/>
          <w:rFonts w:hint="eastAsia"/>
          <w:b w:val="0"/>
          <w:bCs w:val="0"/>
        </w:rPr>
        <w:t>）：提供半导体器件技术和架构、数字集成电路设计、半导体材料分析以及器件和先进集成电路方面的广泛知识和实践经验，实现高效电子器件的设计与创新；</w:t>
      </w:r>
    </w:p>
    <w:p w14:paraId="19780D17">
      <w:pPr>
        <w:ind w:firstLine="480"/>
        <w:rPr>
          <w:rStyle w:val="11"/>
          <w:b w:val="0"/>
          <w:bCs w:val="0"/>
        </w:rPr>
      </w:pPr>
      <w:r>
        <w:rPr>
          <w:rStyle w:val="11"/>
          <w:rFonts w:hint="eastAsia"/>
          <w:b w:val="0"/>
          <w:bCs w:val="0"/>
        </w:rPr>
        <w:t>（8）</w:t>
      </w:r>
      <w:r>
        <w:rPr>
          <w:rStyle w:val="11"/>
          <w:rFonts w:hint="eastAsia"/>
        </w:rPr>
        <w:t>集成电路设计,失效分析与可靠性分析</w:t>
      </w:r>
      <w:r>
        <w:rPr>
          <w:rStyle w:val="11"/>
          <w:rFonts w:hint="eastAsia"/>
          <w:b w:val="0"/>
          <w:bCs w:val="0"/>
        </w:rPr>
        <w:t>（</w:t>
      </w:r>
      <w:r>
        <w:rPr>
          <w:rFonts w:hint="eastAsia"/>
        </w:rPr>
        <w:t>IC Design, Failure Analysis and Reliability</w:t>
      </w:r>
      <w:r>
        <w:rPr>
          <w:rStyle w:val="11"/>
          <w:rFonts w:hint="eastAsia"/>
          <w:b w:val="0"/>
          <w:bCs w:val="0"/>
        </w:rPr>
        <w:t>）：独特的半导体课程设置和实习安排，提供全方位半导体设计前沿知识与实践经验；</w:t>
      </w:r>
    </w:p>
    <w:p w14:paraId="23A28578">
      <w:pPr>
        <w:ind w:firstLine="480"/>
        <w:rPr>
          <w:rStyle w:val="11"/>
          <w:b w:val="0"/>
          <w:bCs w:val="0"/>
        </w:rPr>
      </w:pPr>
      <w:r>
        <w:rPr>
          <w:rStyle w:val="11"/>
          <w:rFonts w:hint="eastAsia"/>
          <w:b w:val="0"/>
          <w:bCs w:val="0"/>
        </w:rPr>
        <w:t>（9）</w:t>
      </w:r>
      <w:r>
        <w:rPr>
          <w:rStyle w:val="11"/>
          <w:rFonts w:hint="eastAsia"/>
        </w:rPr>
        <w:t>人本设计</w:t>
      </w:r>
      <w:r>
        <w:rPr>
          <w:rStyle w:val="11"/>
          <w:rFonts w:hint="eastAsia"/>
          <w:b w:val="0"/>
          <w:bCs w:val="0"/>
        </w:rPr>
        <w:t>（</w:t>
      </w:r>
      <w:r>
        <w:t>Human-Centred Design</w:t>
      </w:r>
      <w:r>
        <w:rPr>
          <w:rStyle w:val="11"/>
          <w:rFonts w:hint="eastAsia"/>
          <w:b w:val="0"/>
          <w:bCs w:val="0"/>
        </w:rPr>
        <w:t>）:探索创造以用户体验为中心的科学和艺术，在设计时考虑用户需求、行为和喜好，改善个人与数字世界的交互体验。</w:t>
      </w:r>
    </w:p>
    <w:p w14:paraId="703C1F58">
      <w:pPr>
        <w:pStyle w:val="2"/>
        <w:ind w:firstLine="643"/>
        <w:rPr>
          <w:rStyle w:val="11"/>
          <w:b/>
          <w:bCs/>
        </w:rPr>
      </w:pPr>
      <w:r>
        <w:rPr>
          <w:rStyle w:val="11"/>
          <w:rFonts w:hint="eastAsia"/>
          <w:b/>
          <w:bCs/>
        </w:rPr>
        <w:t>三、硕士项目优势</w:t>
      </w:r>
    </w:p>
    <w:p w14:paraId="675F3156">
      <w:pPr>
        <w:ind w:firstLine="480"/>
        <w:rPr>
          <w:rStyle w:val="11"/>
          <w:b w:val="0"/>
          <w:bCs w:val="0"/>
        </w:rPr>
      </w:pPr>
      <w:r>
        <w:rPr>
          <w:rStyle w:val="11"/>
          <w:rFonts w:hint="eastAsia"/>
          <w:b w:val="0"/>
          <w:bCs w:val="0"/>
        </w:rPr>
        <w:t>（1）</w:t>
      </w:r>
      <w:r>
        <w:rPr>
          <w:rStyle w:val="11"/>
          <w:rFonts w:hint="eastAsia"/>
        </w:rPr>
        <w:t>全英文授课，国际水准专业技能培养</w:t>
      </w:r>
      <w:r>
        <w:rPr>
          <w:rStyle w:val="11"/>
          <w:rFonts w:hint="eastAsia"/>
          <w:b w:val="0"/>
          <w:bCs w:val="0"/>
        </w:rPr>
        <w:t>：该项目全程采用英语授课，致力于培养具有国际视野的专业精英，使学生的专业技能达到国际先进水平。</w:t>
      </w:r>
    </w:p>
    <w:p w14:paraId="6B315C34">
      <w:pPr>
        <w:ind w:firstLine="480"/>
        <w:rPr>
          <w:rStyle w:val="11"/>
          <w:b w:val="0"/>
          <w:bCs w:val="0"/>
        </w:rPr>
      </w:pPr>
      <w:r>
        <w:rPr>
          <w:rStyle w:val="11"/>
          <w:rFonts w:hint="eastAsia"/>
          <w:b w:val="0"/>
          <w:bCs w:val="0"/>
        </w:rPr>
        <w:t>（2）</w:t>
      </w:r>
      <w:r>
        <w:rPr>
          <w:rStyle w:val="11"/>
          <w:rFonts w:hint="eastAsia"/>
        </w:rPr>
        <w:t>国际入学流程及全程关注支持</w:t>
      </w:r>
      <w:r>
        <w:rPr>
          <w:rStyle w:val="11"/>
          <w:rFonts w:hint="eastAsia"/>
          <w:b w:val="0"/>
          <w:bCs w:val="0"/>
        </w:rPr>
        <w:t>：实行国际通行的申请入学制度，申请者通过提交材料并成功面试后即可获得入学资格。SUTD项目团队从前期咨询答疑到中间提交申请、面试辅导、学生签证申请及行前指导等全周期关注学生申请，提供全方位支持。</w:t>
      </w:r>
    </w:p>
    <w:p w14:paraId="409885D1">
      <w:pPr>
        <w:ind w:firstLine="480"/>
        <w:rPr>
          <w:rStyle w:val="11"/>
          <w:b w:val="0"/>
          <w:bCs w:val="0"/>
        </w:rPr>
      </w:pPr>
      <w:r>
        <w:rPr>
          <w:rStyle w:val="11"/>
          <w:rFonts w:hint="eastAsia"/>
          <w:b w:val="0"/>
          <w:bCs w:val="0"/>
        </w:rPr>
        <w:t>（3）</w:t>
      </w:r>
      <w:r>
        <w:rPr>
          <w:rStyle w:val="11"/>
          <w:rFonts w:hint="eastAsia"/>
        </w:rPr>
        <w:t>学习周期短，效率高</w:t>
      </w:r>
      <w:r>
        <w:rPr>
          <w:rStyle w:val="11"/>
          <w:rFonts w:hint="eastAsia"/>
          <w:b w:val="0"/>
          <w:bCs w:val="0"/>
        </w:rPr>
        <w:t>：整个学制仅需一年，学生可以迅速完成所有课程的学习，效率高效。</w:t>
      </w:r>
    </w:p>
    <w:p w14:paraId="21EA0277">
      <w:pPr>
        <w:ind w:firstLine="480"/>
        <w:rPr>
          <w:rStyle w:val="11"/>
          <w:b w:val="0"/>
          <w:bCs w:val="0"/>
        </w:rPr>
      </w:pPr>
      <w:r>
        <w:rPr>
          <w:rStyle w:val="11"/>
          <w:rFonts w:hint="eastAsia"/>
          <w:b w:val="0"/>
          <w:bCs w:val="0"/>
        </w:rPr>
        <w:t>（4）</w:t>
      </w:r>
      <w:r>
        <w:rPr>
          <w:rStyle w:val="11"/>
          <w:rFonts w:hint="eastAsia"/>
        </w:rPr>
        <w:t>创新教育模式与行业密切合作</w:t>
      </w:r>
      <w:r>
        <w:rPr>
          <w:rStyle w:val="11"/>
          <w:rFonts w:hint="eastAsia"/>
          <w:b w:val="0"/>
          <w:bCs w:val="0"/>
        </w:rPr>
        <w:t>：项目采用问题驱动和项目基础的教学方法，鼓励学生进行实际操作和创新思维。同时，与多家顶尖企业和国际合作伙伴保持紧密合作，提供实际案例研究机会，增强学习的行业相关性。</w:t>
      </w:r>
    </w:p>
    <w:p w14:paraId="082789C0">
      <w:pPr>
        <w:ind w:firstLine="480"/>
        <w:rPr>
          <w:rStyle w:val="11"/>
          <w:b w:val="0"/>
          <w:bCs w:val="0"/>
        </w:rPr>
      </w:pPr>
      <w:r>
        <w:rPr>
          <w:rStyle w:val="11"/>
          <w:rFonts w:hint="eastAsia"/>
          <w:b w:val="0"/>
          <w:bCs w:val="0"/>
        </w:rPr>
        <w:t>（5）</w:t>
      </w:r>
      <w:r>
        <w:rPr>
          <w:rStyle w:val="11"/>
          <w:rFonts w:hint="eastAsia"/>
        </w:rPr>
        <w:t>卓越的就业表现与升学机会</w:t>
      </w:r>
      <w:r>
        <w:rPr>
          <w:rStyle w:val="11"/>
          <w:rFonts w:hint="eastAsia"/>
          <w:b w:val="0"/>
          <w:bCs w:val="0"/>
        </w:rPr>
        <w:t>：SUTD的毕业生在毕业六个月内的就业率高达</w:t>
      </w:r>
      <w:r>
        <w:rPr>
          <w:rStyle w:val="11"/>
          <w:rFonts w:hint="eastAsia"/>
        </w:rPr>
        <w:t>9</w:t>
      </w:r>
      <w:r>
        <w:rPr>
          <w:rStyle w:val="11"/>
          <w:rFonts w:hint="default"/>
        </w:rPr>
        <w:t>1</w:t>
      </w:r>
      <w:r>
        <w:rPr>
          <w:rStyle w:val="11"/>
          <w:rFonts w:hint="eastAsia"/>
        </w:rPr>
        <w:t>.</w:t>
      </w:r>
      <w:r>
        <w:rPr>
          <w:rStyle w:val="11"/>
          <w:rFonts w:hint="default"/>
        </w:rPr>
        <w:t>5</w:t>
      </w:r>
      <w:r>
        <w:rPr>
          <w:rStyle w:val="11"/>
          <w:rFonts w:hint="eastAsia"/>
        </w:rPr>
        <w:t>%</w:t>
      </w:r>
      <w:r>
        <w:rPr>
          <w:rStyle w:val="11"/>
          <w:rFonts w:hint="eastAsia"/>
          <w:b w:val="0"/>
          <w:bCs w:val="0"/>
        </w:rPr>
        <w:t>，平均起薪为</w:t>
      </w:r>
      <w:r>
        <w:rPr>
          <w:rStyle w:val="11"/>
          <w:rFonts w:hint="eastAsia"/>
        </w:rPr>
        <w:t>5</w:t>
      </w:r>
      <w:r>
        <w:rPr>
          <w:rStyle w:val="11"/>
          <w:rFonts w:hint="default"/>
        </w:rPr>
        <w:t>,</w:t>
      </w:r>
      <w:r>
        <w:rPr>
          <w:rStyle w:val="11"/>
          <w:rFonts w:hint="eastAsia"/>
        </w:rPr>
        <w:t>10</w:t>
      </w:r>
      <w:r>
        <w:rPr>
          <w:rStyle w:val="11"/>
          <w:rFonts w:hint="default"/>
        </w:rPr>
        <w:t>2</w:t>
      </w:r>
      <w:r>
        <w:rPr>
          <w:rStyle w:val="11"/>
          <w:rFonts w:hint="eastAsia"/>
          <w:b w:val="0"/>
          <w:bCs w:val="0"/>
        </w:rPr>
        <w:t>新币（约为27,000人民币）高于其他公立大学同专业毕业生。表现优异者还可申请直升该校博士项目，并有机会获得全额奖学金。</w:t>
      </w:r>
    </w:p>
    <w:p w14:paraId="7D294882">
      <w:pPr>
        <w:ind w:firstLine="480"/>
        <w:rPr>
          <w:rStyle w:val="11"/>
          <w:b w:val="0"/>
          <w:bCs w:val="0"/>
        </w:rPr>
      </w:pPr>
      <w:r>
        <w:rPr>
          <w:rStyle w:val="11"/>
          <w:rFonts w:hint="eastAsia"/>
          <w:b w:val="0"/>
          <w:bCs w:val="0"/>
        </w:rPr>
        <w:t>（6）</w:t>
      </w:r>
      <w:r>
        <w:rPr>
          <w:rStyle w:val="11"/>
          <w:rFonts w:hint="eastAsia"/>
        </w:rPr>
        <w:t>全球认可的学位证书</w:t>
      </w:r>
      <w:r>
        <w:rPr>
          <w:rStyle w:val="11"/>
          <w:rFonts w:hint="eastAsia"/>
          <w:b w:val="0"/>
          <w:bCs w:val="0"/>
        </w:rPr>
        <w:t>：由新加坡科技设计大学（SUTD）颁发的毕业证书得到全球认可，并可在中国教育部进行海外学位学历认证。</w:t>
      </w:r>
    </w:p>
    <w:p w14:paraId="760DD017">
      <w:pPr>
        <w:pStyle w:val="2"/>
        <w:ind w:firstLine="640"/>
        <w:rPr>
          <w:rStyle w:val="11"/>
          <w:rFonts w:ascii="Times New Roman" w:hAnsi="Times New Roman" w:cs="Times New Roman"/>
          <w:b w:val="0"/>
          <w:bCs w:val="0"/>
        </w:rPr>
      </w:pPr>
      <w:r>
        <w:rPr>
          <w:rStyle w:val="11"/>
          <w:rFonts w:hint="eastAsia" w:ascii="Times New Roman" w:hAnsi="Times New Roman" w:cs="Times New Roman"/>
          <w:b w:val="0"/>
          <w:bCs w:val="0"/>
        </w:rPr>
        <w:t>四</w:t>
      </w:r>
      <w:r>
        <w:rPr>
          <w:rStyle w:val="11"/>
          <w:rFonts w:ascii="Times New Roman" w:hAnsi="Times New Roman" w:cs="Times New Roman"/>
          <w:b w:val="0"/>
          <w:bCs w:val="0"/>
        </w:rPr>
        <w:t>、</w:t>
      </w:r>
      <w:r>
        <w:rPr>
          <w:rStyle w:val="11"/>
          <w:rFonts w:hint="eastAsia" w:ascii="Times New Roman" w:hAnsi="Times New Roman" w:cs="Times New Roman"/>
          <w:b w:val="0"/>
          <w:bCs w:val="0"/>
        </w:rPr>
        <w:t>招生</w:t>
      </w:r>
      <w:r>
        <w:rPr>
          <w:rStyle w:val="11"/>
          <w:rFonts w:ascii="Times New Roman" w:hAnsi="Times New Roman" w:cs="Times New Roman"/>
          <w:b w:val="0"/>
          <w:bCs w:val="0"/>
        </w:rPr>
        <w:t>选拔标准</w:t>
      </w:r>
    </w:p>
    <w:p w14:paraId="7666AE63">
      <w:pPr>
        <w:ind w:firstLine="480"/>
      </w:pPr>
      <w:r>
        <w:rPr>
          <w:rFonts w:hint="eastAsia"/>
        </w:rPr>
        <w:t>国内高校</w:t>
      </w:r>
      <w:r>
        <w:t>相关专业</w:t>
      </w:r>
      <w:r>
        <w:rPr>
          <w:b/>
          <w:bCs/>
        </w:rPr>
        <w:t>202</w:t>
      </w:r>
      <w:r>
        <w:rPr>
          <w:rFonts w:hint="eastAsia"/>
          <w:b/>
          <w:bCs/>
        </w:rPr>
        <w:t>5</w:t>
      </w:r>
      <w:r>
        <w:t>级应届或往届本科毕业生。</w:t>
      </w:r>
    </w:p>
    <w:p w14:paraId="34C84877">
      <w:pPr>
        <w:ind w:firstLine="480"/>
        <w:rPr>
          <w:rStyle w:val="11"/>
          <w:b w:val="0"/>
          <w:bCs w:val="0"/>
        </w:rPr>
      </w:pPr>
      <w:r>
        <w:rPr>
          <w:rStyle w:val="11"/>
          <w:rFonts w:hint="eastAsia"/>
          <w:b w:val="0"/>
          <w:bCs w:val="0"/>
        </w:rPr>
        <w:t>（1）具有相关专业学习背景。</w:t>
      </w:r>
    </w:p>
    <w:p w14:paraId="762482E2">
      <w:pPr>
        <w:ind w:firstLine="480"/>
        <w:rPr>
          <w:rStyle w:val="11"/>
          <w:b w:val="0"/>
          <w:bCs w:val="0"/>
        </w:rPr>
      </w:pPr>
      <w:r>
        <w:rPr>
          <w:rStyle w:val="11"/>
          <w:rFonts w:hint="eastAsia"/>
          <w:b w:val="0"/>
          <w:bCs w:val="0"/>
        </w:rPr>
        <w:t>（2）英语听说读写能力较好，可提供有效托福、雅思或大学英语四级（425分及以上）、六级（425分及以上）成绩。</w:t>
      </w:r>
    </w:p>
    <w:p w14:paraId="79D68A34">
      <w:pPr>
        <w:ind w:firstLine="480"/>
        <w:rPr>
          <w:rStyle w:val="11"/>
          <w:b w:val="0"/>
          <w:bCs w:val="0"/>
        </w:rPr>
      </w:pPr>
      <w:r>
        <w:rPr>
          <w:rStyle w:val="11"/>
          <w:rFonts w:hint="eastAsia"/>
          <w:b w:val="0"/>
          <w:bCs w:val="0"/>
        </w:rPr>
        <w:t>（3）若没有相关学士学位，可提交以往作品集，重点介绍自己的技能、能力和经验，以增强申请的说服力。</w:t>
      </w:r>
    </w:p>
    <w:p w14:paraId="3464F091">
      <w:pPr>
        <w:ind w:firstLine="480"/>
      </w:pPr>
      <w:r>
        <w:rPr>
          <w:rFonts w:hint="eastAsia"/>
        </w:rPr>
        <w:t>（4）</w:t>
      </w:r>
      <w:r>
        <w:t xml:space="preserve">网络安全设计方向至少精通以下编程语言之一：Java、C++或 Python </w:t>
      </w:r>
      <w:r>
        <w:rPr>
          <w:rFonts w:hint="eastAsia"/>
        </w:rPr>
        <w:t>（</w:t>
      </w:r>
      <w:r>
        <w:t>或其他</w:t>
      </w:r>
      <w:r>
        <w:rPr>
          <w:rFonts w:hint="eastAsia"/>
        </w:rPr>
        <w:t>面向对象高级</w:t>
      </w:r>
      <w:r>
        <w:t>编程语言</w:t>
      </w:r>
      <w:r>
        <w:rPr>
          <w:rFonts w:hint="eastAsia"/>
        </w:rPr>
        <w:t>）。</w:t>
      </w:r>
    </w:p>
    <w:p w14:paraId="05091878">
      <w:pPr>
        <w:ind w:firstLine="480"/>
        <w:rPr>
          <w:rStyle w:val="11"/>
          <w:b w:val="0"/>
          <w:bCs w:val="0"/>
        </w:rPr>
      </w:pPr>
      <w:r>
        <w:rPr>
          <w:rStyle w:val="11"/>
          <w:rFonts w:hint="eastAsia"/>
          <w:b w:val="0"/>
          <w:bCs w:val="0"/>
        </w:rPr>
        <w:t>另外，</w:t>
      </w:r>
      <w:r>
        <w:rPr>
          <w:rFonts w:hint="eastAsia"/>
        </w:rPr>
        <w:t>所有申请将由招生委员会审核；</w:t>
      </w:r>
      <w:r>
        <w:rPr>
          <w:rStyle w:val="11"/>
          <w:rFonts w:hint="eastAsia"/>
          <w:b w:val="0"/>
          <w:bCs w:val="0"/>
        </w:rPr>
        <w:t>由于各专业的申请条件有所不同，请有意申请的学生联系末尾列出的联系人获取详细信息。</w:t>
      </w:r>
    </w:p>
    <w:p w14:paraId="4C5FDE70">
      <w:pPr>
        <w:pStyle w:val="2"/>
        <w:ind w:firstLine="640"/>
        <w:rPr>
          <w:rStyle w:val="11"/>
          <w:rFonts w:hint="default" w:ascii="Times New Roman" w:hAnsi="Times New Roman" w:eastAsia="黑体" w:cs="Times New Roman"/>
          <w:b w:val="0"/>
          <w:bCs w:val="0"/>
          <w:lang w:val="en-US" w:eastAsia="zh-CN"/>
        </w:rPr>
      </w:pPr>
      <w:r>
        <w:rPr>
          <w:rStyle w:val="11"/>
          <w:rFonts w:hint="eastAsia" w:ascii="Times New Roman" w:hAnsi="Times New Roman" w:cs="Times New Roman"/>
          <w:b w:val="0"/>
          <w:bCs w:val="0"/>
        </w:rPr>
        <w:t>五</w:t>
      </w:r>
      <w:r>
        <w:rPr>
          <w:rStyle w:val="11"/>
          <w:rFonts w:ascii="Times New Roman" w:hAnsi="Times New Roman" w:cs="Times New Roman"/>
          <w:b w:val="0"/>
          <w:bCs w:val="0"/>
        </w:rPr>
        <w:t>、</w:t>
      </w:r>
      <w:r>
        <w:rPr>
          <w:rStyle w:val="11"/>
          <w:rFonts w:hint="eastAsia" w:ascii="Times New Roman" w:hAnsi="Times New Roman" w:cs="Times New Roman"/>
          <w:b w:val="0"/>
          <w:bCs w:val="0"/>
        </w:rPr>
        <w:t>费用</w:t>
      </w:r>
      <w:r>
        <w:rPr>
          <w:rStyle w:val="11"/>
          <w:rFonts w:hint="eastAsia" w:ascii="Times New Roman" w:hAnsi="Times New Roman" w:cs="Times New Roman"/>
          <w:b w:val="0"/>
          <w:bCs w:val="0"/>
          <w:lang w:val="en-US" w:eastAsia="zh-CN"/>
        </w:rPr>
        <w:t>及奖学金</w:t>
      </w:r>
    </w:p>
    <w:p w14:paraId="552A8078">
      <w:pPr>
        <w:pStyle w:val="3"/>
        <w:ind w:firstLine="602"/>
      </w:pPr>
      <w:r>
        <w:rPr>
          <w:rFonts w:hint="eastAsia"/>
        </w:rPr>
        <w:t>学费标准及平均生活费</w:t>
      </w:r>
    </w:p>
    <w:p w14:paraId="04603BB7">
      <w:pPr>
        <w:ind w:firstLine="480"/>
      </w:pPr>
      <w:r>
        <w:rPr>
          <w:rFonts w:hint="eastAsia"/>
        </w:rPr>
        <w:t>（1）</w:t>
      </w:r>
      <w:r>
        <w:t>学费：54</w:t>
      </w:r>
      <w:r>
        <w:rPr>
          <w:rFonts w:hint="eastAsia"/>
        </w:rPr>
        <w:t>,</w:t>
      </w:r>
      <w:r>
        <w:t>500新币（含</w:t>
      </w:r>
      <w:r>
        <w:rPr>
          <w:rFonts w:hint="eastAsia"/>
        </w:rPr>
        <w:t>新加坡统一的9%消费</w:t>
      </w:r>
      <w:r>
        <w:t>税</w:t>
      </w:r>
      <w:r>
        <w:rPr>
          <w:rFonts w:hint="eastAsia"/>
        </w:rPr>
        <w:t>，下同</w:t>
      </w:r>
      <w:r>
        <w:t>）。</w:t>
      </w:r>
    </w:p>
    <w:p w14:paraId="74752F5A">
      <w:pPr>
        <w:ind w:firstLine="480"/>
      </w:pPr>
      <w:r>
        <w:rPr>
          <w:rFonts w:hint="eastAsia"/>
        </w:rPr>
        <w:t>（2）杂费：442新币（</w:t>
      </w:r>
      <w:r>
        <w:t>含</w:t>
      </w:r>
      <w:r>
        <w:rPr>
          <w:rFonts w:hint="eastAsia"/>
        </w:rPr>
        <w:t>9%消费</w:t>
      </w:r>
      <w:r>
        <w:t>税</w:t>
      </w:r>
      <w:r>
        <w:rPr>
          <w:rFonts w:hint="eastAsia"/>
        </w:rPr>
        <w:t>）。</w:t>
      </w:r>
    </w:p>
    <w:p w14:paraId="0CDC85CE">
      <w:pPr>
        <w:ind w:firstLine="480"/>
        <w:rPr>
          <w:rFonts w:hint="eastAsia"/>
        </w:rPr>
      </w:pPr>
      <w:r>
        <w:rPr>
          <w:rFonts w:hint="eastAsia"/>
        </w:rPr>
        <w:t>（3）生活费：一年约19,000新币（住宿约为1000-1500新币/月，交通150-200新币/月，餐饮400新币/月）。</w:t>
      </w:r>
    </w:p>
    <w:p w14:paraId="25F7B54A">
      <w:pPr>
        <w:ind w:firstLine="480"/>
        <w:rPr>
          <w:rFonts w:hint="eastAsia" w:eastAsia="仿宋" w:asciiTheme="majorHAnsi" w:hAnsiTheme="majorHAnsi" w:cstheme="majorBidi"/>
          <w:b/>
          <w:bCs/>
          <w:kern w:val="2"/>
          <w:sz w:val="30"/>
          <w:szCs w:val="32"/>
          <w:lang w:val="en-US" w:eastAsia="zh-CN" w:bidi="ar-SA"/>
        </w:rPr>
      </w:pPr>
      <w:r>
        <w:rPr>
          <w:rFonts w:hint="eastAsia" w:eastAsia="仿宋" w:asciiTheme="majorHAnsi" w:hAnsiTheme="majorHAnsi" w:cstheme="majorBidi"/>
          <w:b/>
          <w:bCs/>
          <w:kern w:val="2"/>
          <w:sz w:val="30"/>
          <w:szCs w:val="32"/>
          <w:lang w:val="en-US" w:eastAsia="zh-CN" w:bidi="ar-SA"/>
        </w:rPr>
        <w:t>奖学金</w:t>
      </w:r>
    </w:p>
    <w:p w14:paraId="17DDA0F0">
      <w:pPr>
        <w:rPr>
          <w:rFonts w:hint="eastAsia"/>
          <w:lang w:val="en-US" w:eastAsia="zh-CN"/>
        </w:rPr>
      </w:pPr>
      <w:r>
        <w:rPr>
          <w:rFonts w:hint="eastAsia"/>
        </w:rPr>
        <w:t>成绩优异的学生可获得奖学金。</w:t>
      </w:r>
      <w:r>
        <w:rPr>
          <w:rFonts w:hint="eastAsia"/>
          <w:lang w:val="en-US" w:eastAsia="zh-CN"/>
        </w:rPr>
        <w:t>详情可</w:t>
      </w:r>
      <w:r>
        <w:rPr>
          <w:rFonts w:hint="eastAsia"/>
        </w:rPr>
        <w:t>联系新</w:t>
      </w:r>
      <w:bookmarkStart w:id="0" w:name="_GoBack"/>
      <w:bookmarkEnd w:id="0"/>
      <w:r>
        <w:rPr>
          <w:rFonts w:hint="eastAsia"/>
        </w:rPr>
        <w:t>科大王老师</w:t>
      </w:r>
      <w:r>
        <w:rPr>
          <w:rFonts w:hint="eastAsia"/>
          <w:lang w:eastAsia="zh-CN"/>
        </w:rPr>
        <w:t>（</w:t>
      </w:r>
      <w:r>
        <w:rPr>
          <w:rFonts w:hint="eastAsia"/>
        </w:rPr>
        <w:t>13364055883</w:t>
      </w:r>
      <w:r>
        <w:rPr>
          <w:rFonts w:hint="eastAsia"/>
          <w:lang w:eastAsia="zh-CN"/>
        </w:rPr>
        <w:t>，</w:t>
      </w:r>
      <w:r>
        <w:rPr>
          <w:rFonts w:hint="eastAsia"/>
          <w:lang w:val="en-US" w:eastAsia="zh-CN"/>
        </w:rPr>
        <w:t>微信同号</w:t>
      </w:r>
      <w:r>
        <w:rPr>
          <w:rFonts w:hint="eastAsia"/>
          <w:lang w:eastAsia="zh-CN"/>
        </w:rPr>
        <w:t>）</w:t>
      </w:r>
      <w:r>
        <w:rPr>
          <w:rFonts w:hint="eastAsia"/>
        </w:rPr>
        <w:t>。</w:t>
      </w:r>
    </w:p>
    <w:p w14:paraId="35CB02DD">
      <w:pPr>
        <w:pStyle w:val="2"/>
        <w:ind w:firstLine="643"/>
        <w:rPr>
          <w:rStyle w:val="11"/>
          <w:b/>
          <w:bCs/>
        </w:rPr>
      </w:pPr>
      <w:r>
        <w:rPr>
          <w:rStyle w:val="11"/>
          <w:rFonts w:hint="eastAsia"/>
          <w:b/>
          <w:bCs/>
        </w:rPr>
        <w:t>六、项目</w:t>
      </w:r>
      <w:r>
        <w:rPr>
          <w:rStyle w:val="11"/>
          <w:b/>
          <w:bCs/>
        </w:rPr>
        <w:t>申请</w:t>
      </w:r>
      <w:r>
        <w:rPr>
          <w:rStyle w:val="11"/>
          <w:rFonts w:hint="eastAsia"/>
          <w:b/>
          <w:bCs/>
        </w:rPr>
        <w:t>流程</w:t>
      </w:r>
    </w:p>
    <w:p w14:paraId="03F7BA06">
      <w:pPr>
        <w:pStyle w:val="3"/>
        <w:shd w:val="clear"/>
        <w:ind w:firstLine="602"/>
        <w:rPr>
          <w:rStyle w:val="11"/>
          <w:b/>
          <w:bCs/>
        </w:rPr>
      </w:pPr>
      <w:r>
        <w:rPr>
          <w:rStyle w:val="11"/>
          <w:rFonts w:hint="eastAsia"/>
          <w:b/>
          <w:bCs/>
        </w:rPr>
        <w:t>申请流程</w:t>
      </w:r>
    </w:p>
    <w:tbl>
      <w:tblPr>
        <w:tblStyle w:val="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91"/>
        <w:gridCol w:w="4072"/>
        <w:gridCol w:w="2453"/>
      </w:tblGrid>
      <w:tr w14:paraId="7D7AD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shd w:val="clear" w:color="auto" w:fill="auto"/>
            <w:vAlign w:val="center"/>
          </w:tcPr>
          <w:p w14:paraId="46E0F990">
            <w:pPr>
              <w:shd w:val="clear"/>
              <w:spacing w:line="400" w:lineRule="exact"/>
              <w:ind w:firstLine="0" w:firstLineChars="0"/>
              <w:jc w:val="center"/>
              <w:rPr>
                <w:b/>
                <w:bCs/>
              </w:rPr>
            </w:pPr>
            <w:r>
              <w:rPr>
                <w:rFonts w:hint="eastAsia"/>
                <w:b/>
                <w:bCs/>
              </w:rPr>
              <w:t>序号</w:t>
            </w:r>
          </w:p>
        </w:tc>
        <w:tc>
          <w:tcPr>
            <w:tcW w:w="1191" w:type="dxa"/>
            <w:shd w:val="clear" w:color="auto" w:fill="auto"/>
            <w:vAlign w:val="center"/>
          </w:tcPr>
          <w:p w14:paraId="37853A93">
            <w:pPr>
              <w:shd w:val="clear"/>
              <w:spacing w:line="400" w:lineRule="exact"/>
              <w:ind w:firstLine="0" w:firstLineChars="0"/>
              <w:jc w:val="center"/>
              <w:rPr>
                <w:b/>
                <w:bCs/>
              </w:rPr>
            </w:pPr>
            <w:r>
              <w:rPr>
                <w:rFonts w:hint="eastAsia"/>
                <w:b/>
                <w:bCs/>
              </w:rPr>
              <w:t>具体流程</w:t>
            </w:r>
          </w:p>
        </w:tc>
        <w:tc>
          <w:tcPr>
            <w:tcW w:w="4072" w:type="dxa"/>
            <w:shd w:val="clear" w:color="auto" w:fill="auto"/>
          </w:tcPr>
          <w:p w14:paraId="59ACEFC1">
            <w:pPr>
              <w:shd w:val="clear"/>
              <w:spacing w:line="400" w:lineRule="exact"/>
              <w:ind w:firstLine="0" w:firstLineChars="0"/>
              <w:jc w:val="center"/>
              <w:rPr>
                <w:b/>
                <w:bCs/>
              </w:rPr>
            </w:pPr>
            <w:r>
              <w:rPr>
                <w:rFonts w:hint="eastAsia"/>
                <w:b/>
                <w:bCs/>
              </w:rPr>
              <w:t>流程说明</w:t>
            </w:r>
          </w:p>
        </w:tc>
        <w:tc>
          <w:tcPr>
            <w:tcW w:w="2453" w:type="dxa"/>
            <w:shd w:val="clear" w:color="auto" w:fill="auto"/>
            <w:vAlign w:val="center"/>
          </w:tcPr>
          <w:p w14:paraId="5AF70F85">
            <w:pPr>
              <w:shd w:val="clear"/>
              <w:spacing w:line="400" w:lineRule="exact"/>
              <w:ind w:firstLine="0" w:firstLineChars="0"/>
              <w:jc w:val="center"/>
              <w:rPr>
                <w:b/>
                <w:bCs/>
              </w:rPr>
            </w:pPr>
            <w:r>
              <w:rPr>
                <w:rFonts w:hint="eastAsia"/>
                <w:b/>
                <w:bCs/>
              </w:rPr>
              <w:t>时间期限</w:t>
            </w:r>
          </w:p>
        </w:tc>
      </w:tr>
      <w:tr w14:paraId="3CE3E8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shd w:val="clear" w:color="auto" w:fill="auto"/>
            <w:vAlign w:val="center"/>
          </w:tcPr>
          <w:p w14:paraId="776147EF">
            <w:pPr>
              <w:shd w:val="clear"/>
              <w:spacing w:line="400" w:lineRule="exact"/>
              <w:ind w:firstLine="0" w:firstLineChars="0"/>
              <w:jc w:val="center"/>
            </w:pPr>
            <w:r>
              <w:rPr>
                <w:rFonts w:hint="eastAsia"/>
              </w:rPr>
              <w:t>1</w:t>
            </w:r>
          </w:p>
        </w:tc>
        <w:tc>
          <w:tcPr>
            <w:tcW w:w="1191" w:type="dxa"/>
            <w:shd w:val="clear" w:color="auto" w:fill="auto"/>
            <w:vAlign w:val="center"/>
          </w:tcPr>
          <w:p w14:paraId="392CC5B3">
            <w:pPr>
              <w:shd w:val="clear"/>
              <w:spacing w:line="400" w:lineRule="exact"/>
              <w:ind w:firstLine="0" w:firstLineChars="0"/>
              <w:jc w:val="center"/>
            </w:pPr>
            <w:r>
              <w:rPr>
                <w:rFonts w:hint="eastAsia"/>
              </w:rPr>
              <w:t>提交材料</w:t>
            </w:r>
          </w:p>
        </w:tc>
        <w:tc>
          <w:tcPr>
            <w:tcW w:w="4072" w:type="dxa"/>
            <w:shd w:val="clear" w:color="auto" w:fill="auto"/>
          </w:tcPr>
          <w:p w14:paraId="79A86CA5">
            <w:pPr>
              <w:shd w:val="clear"/>
              <w:spacing w:line="400" w:lineRule="exact"/>
              <w:ind w:firstLine="0" w:firstLineChars="0"/>
            </w:pPr>
            <w:r>
              <w:rPr>
                <w:rFonts w:hint="eastAsia"/>
              </w:rPr>
              <w:t>确保</w:t>
            </w:r>
            <w:r>
              <w:rPr>
                <w:rFonts w:hint="eastAsia"/>
                <w:lang w:val="en-US" w:eastAsia="zh-CN"/>
              </w:rPr>
              <w:t>尽早</w:t>
            </w:r>
            <w:r>
              <w:rPr>
                <w:rFonts w:hint="eastAsia"/>
              </w:rPr>
              <w:t>提交所有必需的申请材料。</w:t>
            </w:r>
          </w:p>
        </w:tc>
        <w:tc>
          <w:tcPr>
            <w:tcW w:w="2453" w:type="dxa"/>
            <w:shd w:val="clear" w:color="auto" w:fill="auto"/>
            <w:vAlign w:val="center"/>
          </w:tcPr>
          <w:p w14:paraId="00A2265A">
            <w:pPr>
              <w:shd w:val="clear"/>
              <w:spacing w:line="400" w:lineRule="exact"/>
              <w:ind w:firstLine="0" w:firstLineChars="0"/>
              <w:rPr>
                <w:rFonts w:hint="eastAsia"/>
              </w:rPr>
            </w:pPr>
            <w:r>
              <w:rPr>
                <w:rFonts w:hint="eastAsia"/>
              </w:rPr>
              <w:t>择优录取，先来先得</w:t>
            </w:r>
          </w:p>
        </w:tc>
      </w:tr>
      <w:tr w14:paraId="62F9F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436E7F9F">
            <w:pPr>
              <w:spacing w:line="400" w:lineRule="exact"/>
              <w:ind w:firstLine="0" w:firstLineChars="0"/>
              <w:jc w:val="center"/>
            </w:pPr>
            <w:r>
              <w:rPr>
                <w:rFonts w:hint="eastAsia"/>
              </w:rPr>
              <w:t>2</w:t>
            </w:r>
          </w:p>
        </w:tc>
        <w:tc>
          <w:tcPr>
            <w:tcW w:w="1191" w:type="dxa"/>
            <w:shd w:val="clear" w:color="auto" w:fill="auto"/>
            <w:vAlign w:val="center"/>
          </w:tcPr>
          <w:p w14:paraId="01D44490">
            <w:pPr>
              <w:spacing w:line="400" w:lineRule="exact"/>
              <w:ind w:firstLine="0" w:firstLineChars="0"/>
              <w:jc w:val="center"/>
            </w:pPr>
            <w:r>
              <w:rPr>
                <w:rFonts w:hint="eastAsia"/>
              </w:rPr>
              <w:t>面试辅导</w:t>
            </w:r>
          </w:p>
        </w:tc>
        <w:tc>
          <w:tcPr>
            <w:tcW w:w="4072" w:type="dxa"/>
            <w:shd w:val="clear" w:color="auto" w:fill="auto"/>
          </w:tcPr>
          <w:p w14:paraId="54FBEF36">
            <w:pPr>
              <w:spacing w:line="400" w:lineRule="exact"/>
              <w:ind w:firstLine="0" w:firstLineChars="0"/>
            </w:pPr>
            <w:r>
              <w:rPr>
                <w:rFonts w:hint="eastAsia"/>
                <w:shd w:val="clear"/>
              </w:rPr>
              <w:t>参加一对一</w:t>
            </w:r>
            <w:r>
              <w:rPr>
                <w:rFonts w:hint="eastAsia"/>
                <w:shd w:val="clear"/>
                <w:lang w:val="en-US" w:eastAsia="zh-CN"/>
              </w:rPr>
              <w:t>面试</w:t>
            </w:r>
            <w:r>
              <w:rPr>
                <w:rFonts w:hint="eastAsia"/>
                <w:shd w:val="clear"/>
              </w:rPr>
              <w:t>辅导，了解面试流程</w:t>
            </w:r>
            <w:r>
              <w:rPr>
                <w:rFonts w:hint="eastAsia"/>
                <w:shd w:val="clear"/>
                <w:lang w:eastAsia="zh-CN"/>
              </w:rPr>
              <w:t>，</w:t>
            </w:r>
            <w:r>
              <w:rPr>
                <w:rFonts w:hint="eastAsia"/>
                <w:shd w:val="clear"/>
                <w:lang w:val="en-US" w:eastAsia="zh-CN"/>
              </w:rPr>
              <w:t>进行</w:t>
            </w:r>
            <w:r>
              <w:rPr>
                <w:rFonts w:hint="eastAsia"/>
                <w:shd w:val="clear"/>
              </w:rPr>
              <w:t>全英模拟面试。</w:t>
            </w:r>
          </w:p>
        </w:tc>
        <w:tc>
          <w:tcPr>
            <w:tcW w:w="2453" w:type="dxa"/>
            <w:shd w:val="clear" w:color="auto" w:fill="auto"/>
            <w:vAlign w:val="center"/>
          </w:tcPr>
          <w:p w14:paraId="41B4216D">
            <w:pPr>
              <w:spacing w:line="400" w:lineRule="exact"/>
              <w:ind w:firstLine="0" w:firstLineChars="0"/>
              <w:rPr>
                <w:color w:val="ED0000"/>
              </w:rPr>
            </w:pPr>
            <w:r>
              <w:rPr>
                <w:rFonts w:hint="eastAsia"/>
                <w:color w:val="auto"/>
                <w:shd w:val="clear"/>
                <w:lang w:val="en-US" w:eastAsia="zh-CN"/>
              </w:rPr>
              <w:t>申请</w:t>
            </w:r>
            <w:r>
              <w:rPr>
                <w:rFonts w:hint="eastAsia"/>
                <w:color w:val="auto"/>
              </w:rPr>
              <w:t>材料受理两周后统一组织进行</w:t>
            </w:r>
          </w:p>
        </w:tc>
      </w:tr>
      <w:tr w14:paraId="216D8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5131A0AD">
            <w:pPr>
              <w:spacing w:line="400" w:lineRule="exact"/>
              <w:ind w:firstLine="0" w:firstLineChars="0"/>
              <w:jc w:val="center"/>
            </w:pPr>
            <w:r>
              <w:rPr>
                <w:rFonts w:hint="eastAsia"/>
              </w:rPr>
              <w:t>3</w:t>
            </w:r>
          </w:p>
        </w:tc>
        <w:tc>
          <w:tcPr>
            <w:tcW w:w="1191" w:type="dxa"/>
            <w:shd w:val="clear" w:color="auto" w:fill="auto"/>
            <w:vAlign w:val="center"/>
          </w:tcPr>
          <w:p w14:paraId="0F295640">
            <w:pPr>
              <w:spacing w:line="400" w:lineRule="exact"/>
              <w:ind w:firstLine="0" w:firstLineChars="0"/>
              <w:jc w:val="center"/>
            </w:pPr>
            <w:r>
              <w:rPr>
                <w:rFonts w:hint="eastAsia"/>
              </w:rPr>
              <w:t>在线面试</w:t>
            </w:r>
          </w:p>
        </w:tc>
        <w:tc>
          <w:tcPr>
            <w:tcW w:w="4072" w:type="dxa"/>
            <w:shd w:val="clear" w:color="auto" w:fill="auto"/>
          </w:tcPr>
          <w:p w14:paraId="7E83CA3D">
            <w:pPr>
              <w:spacing w:line="400" w:lineRule="exact"/>
              <w:ind w:firstLine="0" w:firstLineChars="0"/>
            </w:pPr>
            <w:r>
              <w:rPr>
                <w:rFonts w:hint="eastAsia"/>
              </w:rPr>
              <w:t>展示个人能力和申请该项目的理由，由SUTD面试官负责组织面试，前后共安排三轮面试。</w:t>
            </w:r>
          </w:p>
        </w:tc>
        <w:tc>
          <w:tcPr>
            <w:tcW w:w="2453" w:type="dxa"/>
            <w:shd w:val="clear" w:color="auto" w:fill="auto"/>
            <w:vAlign w:val="center"/>
          </w:tcPr>
          <w:p w14:paraId="2FB923BA">
            <w:pPr>
              <w:spacing w:line="400" w:lineRule="exact"/>
              <w:ind w:firstLine="0" w:firstLineChars="0"/>
            </w:pPr>
            <w:r>
              <w:rPr>
                <w:rFonts w:hint="eastAsia"/>
              </w:rPr>
              <w:t>首轮2024年12月份</w:t>
            </w:r>
          </w:p>
          <w:p w14:paraId="31F451D1">
            <w:pPr>
              <w:spacing w:line="400" w:lineRule="exact"/>
              <w:ind w:firstLine="0" w:firstLineChars="0"/>
            </w:pPr>
            <w:r>
              <w:rPr>
                <w:rFonts w:hint="eastAsia"/>
              </w:rPr>
              <w:t>次轮2025年</w:t>
            </w:r>
            <w:r>
              <w:rPr>
                <w:rFonts w:hint="eastAsia"/>
                <w:lang w:val="en-US" w:eastAsia="zh-CN"/>
              </w:rPr>
              <w:t>4</w:t>
            </w:r>
            <w:r>
              <w:rPr>
                <w:rFonts w:hint="eastAsia"/>
              </w:rPr>
              <w:t>月份</w:t>
            </w:r>
          </w:p>
          <w:p w14:paraId="4398AFB9">
            <w:pPr>
              <w:spacing w:line="400" w:lineRule="exact"/>
              <w:ind w:firstLine="0" w:firstLineChars="0"/>
            </w:pPr>
            <w:r>
              <w:rPr>
                <w:rFonts w:hint="eastAsia"/>
              </w:rPr>
              <w:t>末轮2025年</w:t>
            </w:r>
            <w:r>
              <w:rPr>
                <w:rFonts w:hint="eastAsia"/>
                <w:lang w:val="en-US" w:eastAsia="zh-CN"/>
              </w:rPr>
              <w:t>5</w:t>
            </w:r>
            <w:r>
              <w:rPr>
                <w:rFonts w:hint="eastAsia"/>
              </w:rPr>
              <w:t>月份</w:t>
            </w:r>
          </w:p>
        </w:tc>
      </w:tr>
      <w:tr w14:paraId="48D39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16219AA2">
            <w:pPr>
              <w:spacing w:line="400" w:lineRule="exact"/>
              <w:ind w:firstLine="0" w:firstLineChars="0"/>
              <w:jc w:val="center"/>
            </w:pPr>
            <w:r>
              <w:rPr>
                <w:rFonts w:hint="eastAsia"/>
              </w:rPr>
              <w:t>4</w:t>
            </w:r>
          </w:p>
        </w:tc>
        <w:tc>
          <w:tcPr>
            <w:tcW w:w="1191" w:type="dxa"/>
            <w:shd w:val="clear" w:color="auto" w:fill="auto"/>
            <w:vAlign w:val="center"/>
          </w:tcPr>
          <w:p w14:paraId="2E8A8D1C">
            <w:pPr>
              <w:spacing w:line="400" w:lineRule="exact"/>
              <w:ind w:firstLine="0" w:firstLineChars="0"/>
              <w:jc w:val="center"/>
            </w:pPr>
            <w:r>
              <w:rPr>
                <w:rFonts w:hint="eastAsia"/>
              </w:rPr>
              <w:t>录取通知</w:t>
            </w:r>
          </w:p>
        </w:tc>
        <w:tc>
          <w:tcPr>
            <w:tcW w:w="4072" w:type="dxa"/>
            <w:shd w:val="clear" w:color="auto" w:fill="auto"/>
          </w:tcPr>
          <w:p w14:paraId="13ECB28D">
            <w:pPr>
              <w:spacing w:line="400" w:lineRule="exact"/>
              <w:ind w:firstLine="0" w:firstLineChars="0"/>
            </w:pPr>
            <w:r>
              <w:rPr>
                <w:rFonts w:hint="eastAsia"/>
              </w:rPr>
              <w:t>收到学校</w:t>
            </w:r>
            <w:r>
              <w:rPr>
                <w:rFonts w:hint="eastAsia"/>
                <w:lang w:val="en-US" w:eastAsia="zh-CN"/>
              </w:rPr>
              <w:t>发</w:t>
            </w:r>
            <w:r>
              <w:rPr>
                <w:rFonts w:hint="eastAsia"/>
              </w:rPr>
              <w:t>出的录取通知书。</w:t>
            </w:r>
          </w:p>
        </w:tc>
        <w:tc>
          <w:tcPr>
            <w:tcW w:w="2453" w:type="dxa"/>
            <w:shd w:val="clear" w:color="auto" w:fill="auto"/>
            <w:vAlign w:val="center"/>
          </w:tcPr>
          <w:p w14:paraId="68C6CAA3">
            <w:pPr>
              <w:spacing w:line="400" w:lineRule="exact"/>
              <w:ind w:firstLine="0" w:firstLineChars="0"/>
              <w:rPr>
                <w:rFonts w:hint="eastAsia" w:eastAsia="仿宋"/>
                <w:lang w:val="en-US" w:eastAsia="zh-CN"/>
              </w:rPr>
            </w:pPr>
            <w:r>
              <w:rPr>
                <w:rFonts w:hint="eastAsia"/>
              </w:rPr>
              <w:t>面试后两周</w:t>
            </w:r>
            <w:r>
              <w:rPr>
                <w:rFonts w:hint="eastAsia"/>
                <w:shd w:val="clear"/>
              </w:rPr>
              <w:t>内</w:t>
            </w:r>
            <w:r>
              <w:rPr>
                <w:rFonts w:hint="eastAsia"/>
                <w:strike w:val="0"/>
                <w:dstrike w:val="0"/>
                <w:shd w:val="clear"/>
                <w:lang w:val="en-US" w:eastAsia="zh-CN"/>
              </w:rPr>
              <w:t>发送</w:t>
            </w:r>
          </w:p>
        </w:tc>
      </w:tr>
      <w:tr w14:paraId="1896A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4FD16BA6">
            <w:pPr>
              <w:spacing w:line="400" w:lineRule="exact"/>
              <w:ind w:firstLine="0" w:firstLineChars="0"/>
              <w:jc w:val="center"/>
            </w:pPr>
            <w:r>
              <w:rPr>
                <w:rFonts w:hint="eastAsia"/>
              </w:rPr>
              <w:t>5</w:t>
            </w:r>
          </w:p>
        </w:tc>
        <w:tc>
          <w:tcPr>
            <w:tcW w:w="1191" w:type="dxa"/>
            <w:shd w:val="clear" w:color="auto" w:fill="auto"/>
            <w:vAlign w:val="center"/>
          </w:tcPr>
          <w:p w14:paraId="3D5B0610">
            <w:pPr>
              <w:spacing w:line="400" w:lineRule="exact"/>
              <w:ind w:firstLine="0" w:firstLineChars="0"/>
              <w:jc w:val="center"/>
            </w:pPr>
            <w:r>
              <w:rPr>
                <w:rFonts w:hint="eastAsia"/>
              </w:rPr>
              <w:t>行前指导</w:t>
            </w:r>
          </w:p>
        </w:tc>
        <w:tc>
          <w:tcPr>
            <w:tcW w:w="4072" w:type="dxa"/>
            <w:shd w:val="clear" w:color="auto" w:fill="auto"/>
          </w:tcPr>
          <w:p w14:paraId="04828D89">
            <w:pPr>
              <w:spacing w:line="400" w:lineRule="exact"/>
              <w:ind w:firstLine="0" w:firstLineChars="0"/>
            </w:pPr>
            <w:r>
              <w:rPr>
                <w:rFonts w:hint="eastAsia"/>
              </w:rPr>
              <w:t>统一参加行前准备会议，了解必要的行前信息和指导。</w:t>
            </w:r>
          </w:p>
        </w:tc>
        <w:tc>
          <w:tcPr>
            <w:tcW w:w="2453" w:type="dxa"/>
            <w:shd w:val="clear" w:color="auto" w:fill="auto"/>
            <w:vAlign w:val="center"/>
          </w:tcPr>
          <w:p w14:paraId="2467A47D">
            <w:pPr>
              <w:spacing w:line="400" w:lineRule="exact"/>
              <w:ind w:firstLine="0" w:firstLineChars="0"/>
            </w:pPr>
            <w:r>
              <w:rPr>
                <w:rFonts w:hint="eastAsia"/>
              </w:rPr>
              <w:t>2025年7月份</w:t>
            </w:r>
          </w:p>
        </w:tc>
      </w:tr>
      <w:tr w14:paraId="42EF1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444A2B7B">
            <w:pPr>
              <w:spacing w:line="400" w:lineRule="exact"/>
              <w:ind w:firstLine="0" w:firstLineChars="0"/>
              <w:jc w:val="center"/>
            </w:pPr>
            <w:r>
              <w:rPr>
                <w:rFonts w:hint="eastAsia"/>
              </w:rPr>
              <w:t>6</w:t>
            </w:r>
          </w:p>
        </w:tc>
        <w:tc>
          <w:tcPr>
            <w:tcW w:w="1191" w:type="dxa"/>
            <w:shd w:val="clear" w:color="auto" w:fill="auto"/>
            <w:vAlign w:val="center"/>
          </w:tcPr>
          <w:p w14:paraId="6DD5FA60">
            <w:pPr>
              <w:spacing w:line="400" w:lineRule="exact"/>
              <w:ind w:firstLine="0" w:firstLineChars="0"/>
              <w:jc w:val="center"/>
            </w:pPr>
            <w:r>
              <w:rPr>
                <w:rFonts w:hint="eastAsia"/>
              </w:rPr>
              <w:t>学生签证</w:t>
            </w:r>
          </w:p>
        </w:tc>
        <w:tc>
          <w:tcPr>
            <w:tcW w:w="4072" w:type="dxa"/>
            <w:shd w:val="clear" w:color="auto" w:fill="auto"/>
          </w:tcPr>
          <w:p w14:paraId="0F556BED">
            <w:pPr>
              <w:spacing w:line="400" w:lineRule="exact"/>
              <w:ind w:firstLine="0" w:firstLineChars="0"/>
              <w:rPr>
                <w:rFonts w:hint="eastAsia" w:eastAsia="仿宋"/>
                <w:lang w:eastAsia="zh-CN"/>
              </w:rPr>
            </w:pPr>
            <w:r>
              <w:rPr>
                <w:rFonts w:hint="eastAsia"/>
              </w:rPr>
              <w:t>在项目老师的协助下申请并获得学生签证</w:t>
            </w:r>
            <w:r>
              <w:rPr>
                <w:rFonts w:hint="eastAsia"/>
                <w:shd w:val="clear"/>
                <w:lang w:eastAsia="zh-CN"/>
              </w:rPr>
              <w:t>。</w:t>
            </w:r>
          </w:p>
        </w:tc>
        <w:tc>
          <w:tcPr>
            <w:tcW w:w="2453" w:type="dxa"/>
            <w:shd w:val="clear" w:color="auto" w:fill="auto"/>
            <w:vAlign w:val="center"/>
          </w:tcPr>
          <w:p w14:paraId="6CEADB87">
            <w:pPr>
              <w:spacing w:line="400" w:lineRule="exact"/>
              <w:ind w:firstLine="0" w:firstLineChars="0"/>
              <w:rPr>
                <w:rFonts w:hint="eastAsia"/>
              </w:rPr>
            </w:pPr>
            <w:r>
              <w:rPr>
                <w:rFonts w:hint="eastAsia"/>
              </w:rPr>
              <w:t>正式入学前获取签证</w:t>
            </w:r>
          </w:p>
        </w:tc>
      </w:tr>
      <w:tr w14:paraId="2795A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327A95E0">
            <w:pPr>
              <w:spacing w:line="400" w:lineRule="exact"/>
              <w:ind w:firstLine="0" w:firstLineChars="0"/>
              <w:jc w:val="center"/>
            </w:pPr>
            <w:r>
              <w:rPr>
                <w:rFonts w:hint="eastAsia"/>
              </w:rPr>
              <w:t>7</w:t>
            </w:r>
          </w:p>
        </w:tc>
        <w:tc>
          <w:tcPr>
            <w:tcW w:w="1191" w:type="dxa"/>
            <w:shd w:val="clear" w:color="auto" w:fill="auto"/>
            <w:vAlign w:val="center"/>
          </w:tcPr>
          <w:p w14:paraId="6CEE9C70">
            <w:pPr>
              <w:spacing w:line="400" w:lineRule="exact"/>
              <w:ind w:firstLine="0" w:firstLineChars="0"/>
              <w:jc w:val="center"/>
            </w:pPr>
            <w:r>
              <w:rPr>
                <w:rFonts w:hint="eastAsia"/>
              </w:rPr>
              <w:t>正式入学</w:t>
            </w:r>
          </w:p>
        </w:tc>
        <w:tc>
          <w:tcPr>
            <w:tcW w:w="4072" w:type="dxa"/>
            <w:shd w:val="clear" w:color="auto" w:fill="auto"/>
          </w:tcPr>
          <w:p w14:paraId="48EF85AD">
            <w:pPr>
              <w:spacing w:line="400" w:lineRule="exact"/>
              <w:ind w:firstLine="0" w:firstLineChars="0"/>
              <w:rPr>
                <w:rFonts w:hint="eastAsia" w:eastAsia="仿宋"/>
                <w:lang w:eastAsia="zh-CN"/>
              </w:rPr>
            </w:pPr>
            <w:r>
              <w:rPr>
                <w:rFonts w:hint="eastAsia"/>
              </w:rPr>
              <w:t>正式入学新</w:t>
            </w:r>
            <w:r>
              <w:rPr>
                <w:rFonts w:hint="eastAsia"/>
                <w:shd w:val="clear"/>
              </w:rPr>
              <w:t>科大，学制为1年</w:t>
            </w:r>
            <w:r>
              <w:rPr>
                <w:rFonts w:hint="eastAsia"/>
                <w:shd w:val="clear"/>
                <w:lang w:eastAsia="zh-CN"/>
              </w:rPr>
              <w:t>，</w:t>
            </w:r>
            <w:r>
              <w:rPr>
                <w:rFonts w:hint="eastAsia"/>
                <w:shd w:val="clear"/>
              </w:rPr>
              <w:t>至2026年8月底</w:t>
            </w:r>
            <w:r>
              <w:rPr>
                <w:rFonts w:hint="eastAsia"/>
                <w:shd w:val="clear"/>
                <w:lang w:val="en-US" w:eastAsia="zh-CN"/>
              </w:rPr>
              <w:t>毕业</w:t>
            </w:r>
            <w:r>
              <w:rPr>
                <w:rFonts w:hint="eastAsia"/>
                <w:strike w:val="0"/>
                <w:dstrike w:val="0"/>
                <w:shd w:val="clear"/>
                <w:lang w:eastAsia="zh-CN"/>
              </w:rPr>
              <w:t>。</w:t>
            </w:r>
          </w:p>
        </w:tc>
        <w:tc>
          <w:tcPr>
            <w:tcW w:w="2453" w:type="dxa"/>
            <w:shd w:val="clear" w:color="auto" w:fill="auto"/>
            <w:vAlign w:val="center"/>
          </w:tcPr>
          <w:p w14:paraId="3A96A793">
            <w:pPr>
              <w:spacing w:line="400" w:lineRule="exact"/>
              <w:ind w:firstLine="0" w:firstLineChars="0"/>
            </w:pPr>
            <w:r>
              <w:rPr>
                <w:rFonts w:hint="eastAsia"/>
              </w:rPr>
              <w:t>2025年9月份</w:t>
            </w:r>
          </w:p>
        </w:tc>
      </w:tr>
    </w:tbl>
    <w:p w14:paraId="0EB54EAA">
      <w:pPr>
        <w:spacing w:line="400" w:lineRule="exact"/>
        <w:ind w:firstLine="0" w:firstLineChars="0"/>
      </w:pPr>
    </w:p>
    <w:p w14:paraId="3601F7DE">
      <w:pPr>
        <w:pStyle w:val="3"/>
        <w:ind w:firstLine="602"/>
        <w:rPr>
          <w:rStyle w:val="11"/>
          <w:b/>
          <w:bCs/>
        </w:rPr>
      </w:pPr>
      <w:r>
        <w:rPr>
          <w:rStyle w:val="11"/>
          <w:rFonts w:hint="eastAsia"/>
          <w:b/>
          <w:bCs/>
        </w:rPr>
        <w:t>报名</w:t>
      </w:r>
      <w:r>
        <w:rPr>
          <w:rStyle w:val="11"/>
          <w:b/>
          <w:bCs/>
        </w:rPr>
        <w:t>材料</w:t>
      </w:r>
    </w:p>
    <w:p w14:paraId="30A10401">
      <w:pPr>
        <w:numPr>
          <w:ilvl w:val="0"/>
          <w:numId w:val="1"/>
        </w:numPr>
        <w:ind w:left="1025" w:leftChars="0" w:hanging="425" w:firstLineChars="0"/>
        <w:rPr>
          <w:rFonts w:hint="eastAsia"/>
        </w:rPr>
      </w:pPr>
      <w:r>
        <w:rPr>
          <w:rFonts w:hint="eastAsia"/>
          <w:lang w:val="en-US" w:eastAsia="zh-CN"/>
        </w:rPr>
        <w:t xml:space="preserve"> </w:t>
      </w:r>
      <w:r>
        <w:rPr>
          <w:rFonts w:hint="eastAsia"/>
        </w:rPr>
        <w:t>新加坡科技设计大学硕士申请表</w:t>
      </w:r>
    </w:p>
    <w:p w14:paraId="3CB5E10B">
      <w:pPr>
        <w:numPr>
          <w:ilvl w:val="0"/>
          <w:numId w:val="1"/>
        </w:numPr>
        <w:ind w:left="1025" w:leftChars="0" w:hanging="425" w:firstLineChars="0"/>
        <w:rPr>
          <w:rFonts w:hint="eastAsia"/>
        </w:rPr>
      </w:pPr>
      <w:r>
        <w:rPr>
          <w:rFonts w:hint="eastAsia"/>
          <w:lang w:val="en-US" w:eastAsia="zh-CN"/>
        </w:rPr>
        <w:t xml:space="preserve"> </w:t>
      </w:r>
      <w:r>
        <w:rPr>
          <w:rFonts w:hint="eastAsia"/>
        </w:rPr>
        <w:t>身份证正反页 PDF 格式扫描件</w:t>
      </w:r>
    </w:p>
    <w:p w14:paraId="04C868D4">
      <w:pPr>
        <w:numPr>
          <w:ilvl w:val="0"/>
          <w:numId w:val="1"/>
        </w:numPr>
        <w:ind w:left="1025" w:leftChars="0" w:hanging="425" w:firstLineChars="0"/>
        <w:rPr>
          <w:rFonts w:hint="eastAsia"/>
        </w:rPr>
      </w:pPr>
      <w:r>
        <w:rPr>
          <w:rFonts w:hint="eastAsia"/>
          <w:lang w:val="en-US" w:eastAsia="zh-CN"/>
        </w:rPr>
        <w:t xml:space="preserve"> </w:t>
      </w:r>
      <w:r>
        <w:rPr>
          <w:rFonts w:hint="eastAsia"/>
        </w:rPr>
        <w:t>护照首页PDF格式扫描件</w:t>
      </w:r>
    </w:p>
    <w:p w14:paraId="45E70354">
      <w:pPr>
        <w:numPr>
          <w:ilvl w:val="0"/>
          <w:numId w:val="1"/>
        </w:numPr>
        <w:ind w:left="1025" w:leftChars="0" w:hanging="425" w:firstLineChars="0"/>
        <w:rPr>
          <w:rFonts w:hint="eastAsia"/>
        </w:rPr>
      </w:pPr>
      <w:r>
        <w:rPr>
          <w:rFonts w:hint="eastAsia"/>
          <w:lang w:val="en-US" w:eastAsia="zh-CN"/>
        </w:rPr>
        <w:t xml:space="preserve"> </w:t>
      </w:r>
      <w:r>
        <w:rPr>
          <w:rFonts w:hint="eastAsia"/>
        </w:rPr>
        <w:t>2寸白底JPG 格式电子版照片</w:t>
      </w:r>
    </w:p>
    <w:p w14:paraId="725C184B">
      <w:pPr>
        <w:numPr>
          <w:ilvl w:val="0"/>
          <w:numId w:val="1"/>
        </w:numPr>
        <w:ind w:left="600" w:leftChars="250" w:firstLine="0" w:firstLineChars="0"/>
        <w:rPr>
          <w:rFonts w:hint="eastAsia"/>
        </w:rPr>
      </w:pPr>
      <w:r>
        <w:rPr>
          <w:rFonts w:hint="eastAsia"/>
          <w:lang w:val="en-US" w:eastAsia="zh-CN"/>
        </w:rPr>
        <w:t xml:space="preserve"> </w:t>
      </w:r>
      <w:r>
        <w:rPr>
          <w:rFonts w:hint="eastAsia"/>
        </w:rPr>
        <w:t>本科毕业证、学位证、成绩单原件及官方翻译盖章 PDF 格式扫描件，大学在读者提供在读证明及在读成绩单中英文官方盖章 PDF 格式扫描件</w:t>
      </w:r>
    </w:p>
    <w:p w14:paraId="32474BBB">
      <w:pPr>
        <w:numPr>
          <w:ilvl w:val="0"/>
          <w:numId w:val="1"/>
        </w:numPr>
        <w:ind w:left="600" w:leftChars="250" w:firstLine="0" w:firstLineChars="0"/>
        <w:rPr>
          <w:rFonts w:hint="eastAsia"/>
        </w:rPr>
      </w:pPr>
      <w:r>
        <w:rPr>
          <w:rFonts w:hint="eastAsia"/>
          <w:lang w:val="en-US" w:eastAsia="zh-CN"/>
        </w:rPr>
        <w:t xml:space="preserve"> </w:t>
      </w:r>
      <w:r>
        <w:rPr>
          <w:rFonts w:hint="eastAsia"/>
        </w:rPr>
        <w:t>雅思/托福成绩单或大学四/六级成绩单及官方翻译盖章 PDF 格式扫描件</w:t>
      </w:r>
    </w:p>
    <w:p w14:paraId="323DE32E">
      <w:pPr>
        <w:numPr>
          <w:ilvl w:val="0"/>
          <w:numId w:val="1"/>
        </w:numPr>
        <w:ind w:left="600" w:leftChars="250" w:firstLine="0" w:firstLineChars="0"/>
        <w:rPr>
          <w:rFonts w:hint="eastAsia"/>
        </w:rPr>
      </w:pPr>
      <w:r>
        <w:rPr>
          <w:rFonts w:hint="eastAsia"/>
          <w:lang w:val="en-US" w:eastAsia="zh-CN"/>
        </w:rPr>
        <w:t xml:space="preserve"> </w:t>
      </w:r>
      <w:r>
        <w:rPr>
          <w:rFonts w:hint="eastAsia"/>
        </w:rPr>
        <w:t xml:space="preserve">个人阐述 (要求:500字左右，英文书写，包含个人简介、经历及对该硕士课程申请的理由以及毕业后的打算等相关内容) </w:t>
      </w:r>
    </w:p>
    <w:p w14:paraId="3984F7C3">
      <w:pPr>
        <w:numPr>
          <w:ilvl w:val="0"/>
          <w:numId w:val="1"/>
        </w:numPr>
        <w:ind w:left="1025" w:leftChars="0" w:hanging="425" w:firstLineChars="0"/>
        <w:rPr>
          <w:rFonts w:hint="eastAsia"/>
        </w:rPr>
      </w:pPr>
      <w:r>
        <w:rPr>
          <w:rFonts w:hint="eastAsia"/>
          <w:lang w:val="en-US" w:eastAsia="zh-CN"/>
        </w:rPr>
        <w:t xml:space="preserve"> </w:t>
      </w:r>
      <w:r>
        <w:rPr>
          <w:rFonts w:hint="eastAsia"/>
        </w:rPr>
        <w:t>个人简历英文版</w:t>
      </w:r>
    </w:p>
    <w:p w14:paraId="4DAE4E87">
      <w:pPr>
        <w:numPr>
          <w:ilvl w:val="0"/>
          <w:numId w:val="1"/>
        </w:numPr>
        <w:ind w:left="600" w:leftChars="250" w:firstLine="0" w:firstLineChars="0"/>
      </w:pPr>
      <w:r>
        <w:rPr>
          <w:rFonts w:hint="eastAsia"/>
          <w:lang w:val="en-US" w:eastAsia="zh-CN"/>
        </w:rPr>
        <w:t xml:space="preserve"> </w:t>
      </w:r>
      <w:r>
        <w:rPr>
          <w:rFonts w:hint="eastAsia"/>
        </w:rPr>
        <w:t>相关背景提升及作品集等佐证材料（如申请人工智能与建筑环境或跨专业申请者，此材料为必须项）*</w:t>
      </w:r>
    </w:p>
    <w:p w14:paraId="176C0740">
      <w:pPr>
        <w:pStyle w:val="3"/>
        <w:ind w:firstLine="602"/>
      </w:pPr>
      <w:r>
        <w:rPr>
          <w:rFonts w:hint="eastAsia"/>
        </w:rPr>
        <w:t>关键时间</w:t>
      </w:r>
    </w:p>
    <w:p w14:paraId="5117E033">
      <w:pPr>
        <w:ind w:firstLine="480"/>
        <w:rPr>
          <w:rFonts w:hint="eastAsia" w:eastAsia="仿宋"/>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材料提交截止时间：本项目采取申请制，并采取多轮面试形式，先提交先审核，建议及早提交申请资料</w:t>
      </w:r>
      <w:r>
        <w:rPr>
          <w:rFonts w:hint="eastAsia"/>
          <w:color w:val="000000" w:themeColor="text1"/>
          <w:lang w:eastAsia="zh-CN"/>
          <w14:textFill>
            <w14:solidFill>
              <w14:schemeClr w14:val="tx1"/>
            </w14:solidFill>
          </w14:textFill>
        </w:rPr>
        <w:t>。</w:t>
      </w:r>
    </w:p>
    <w:p w14:paraId="376567E8">
      <w:pPr>
        <w:ind w:firstLine="480"/>
        <w:rPr>
          <w:rFonts w:hint="eastAsia" w:eastAsia="仿宋"/>
          <w:lang w:val="en-US" w:eastAsia="zh-CN"/>
        </w:rPr>
      </w:pPr>
      <w:r>
        <w:rPr>
          <w:rFonts w:hint="eastAsia"/>
        </w:rPr>
        <w:t>2025年拟入学时间：2025年9月入学</w:t>
      </w:r>
    </w:p>
    <w:p w14:paraId="620D2E09">
      <w:pPr>
        <w:pStyle w:val="2"/>
        <w:ind w:firstLine="640"/>
        <w:rPr>
          <w:rStyle w:val="11"/>
          <w:b w:val="0"/>
          <w:bCs w:val="0"/>
        </w:rPr>
      </w:pPr>
      <w:r>
        <w:rPr>
          <w:rStyle w:val="11"/>
          <w:rFonts w:hint="eastAsia"/>
          <w:b w:val="0"/>
          <w:bCs w:val="0"/>
        </w:rPr>
        <w:t>七</w:t>
      </w:r>
      <w:r>
        <w:rPr>
          <w:rStyle w:val="11"/>
          <w:b w:val="0"/>
          <w:bCs w:val="0"/>
        </w:rPr>
        <w:t>、</w:t>
      </w:r>
      <w:r>
        <w:rPr>
          <w:rStyle w:val="11"/>
          <w:rFonts w:hint="eastAsia"/>
          <w:b w:val="0"/>
          <w:bCs w:val="0"/>
        </w:rPr>
        <w:t>项目</w:t>
      </w:r>
      <w:r>
        <w:rPr>
          <w:rStyle w:val="11"/>
          <w:b w:val="0"/>
          <w:bCs w:val="0"/>
        </w:rPr>
        <w:t>联系咨询</w:t>
      </w:r>
    </w:p>
    <w:p w14:paraId="7A76A38D">
      <w:pPr>
        <w:ind w:firstLine="480"/>
      </w:pPr>
      <w:r>
        <w:t>邮箱：</w:t>
      </w:r>
      <w:r>
        <w:fldChar w:fldCharType="begin"/>
      </w:r>
      <w:r>
        <w:instrText xml:space="preserve"> HYPERLINK "mailto:MTD_CN@sutd.edu.sg" </w:instrText>
      </w:r>
      <w:r>
        <w:fldChar w:fldCharType="separate"/>
      </w:r>
      <w:r>
        <w:rPr>
          <w:rStyle w:val="12"/>
          <w:rFonts w:cs="Times New Roman"/>
          <w:color w:val="auto"/>
          <w:u w:val="none"/>
        </w:rPr>
        <w:t>MTD_CN@sutd.edu.sg</w:t>
      </w:r>
      <w:r>
        <w:rPr>
          <w:rStyle w:val="12"/>
          <w:rFonts w:cs="Times New Roman"/>
          <w:color w:val="auto"/>
          <w:u w:val="none"/>
        </w:rPr>
        <w:fldChar w:fldCharType="end"/>
      </w:r>
      <w:r>
        <w:t>，电子版材料请发送至</w:t>
      </w:r>
      <w:r>
        <w:rPr>
          <w:rFonts w:hint="eastAsia"/>
        </w:rPr>
        <w:t>该</w:t>
      </w:r>
      <w:r>
        <w:t>邮箱</w:t>
      </w:r>
      <w:r>
        <w:rPr>
          <w:rFonts w:hint="eastAsia"/>
        </w:rPr>
        <w:t>；</w:t>
      </w:r>
    </w:p>
    <w:p w14:paraId="1C5BA6A8">
      <w:pPr>
        <w:ind w:firstLine="480"/>
      </w:pPr>
      <w:r>
        <w:t>新科大官网：</w:t>
      </w:r>
      <w:r>
        <w:fldChar w:fldCharType="begin"/>
      </w:r>
      <w:r>
        <w:instrText xml:space="preserve"> HYPERLINK "https://www.sutd.edu.sg" </w:instrText>
      </w:r>
      <w:r>
        <w:fldChar w:fldCharType="separate"/>
      </w:r>
      <w:r>
        <w:rPr>
          <w:rStyle w:val="12"/>
          <w:rFonts w:hint="eastAsia"/>
          <w:color w:val="auto"/>
        </w:rPr>
        <w:t>https://www.</w:t>
      </w:r>
      <w:r>
        <w:rPr>
          <w:rStyle w:val="12"/>
          <w:color w:val="auto"/>
        </w:rPr>
        <w:t>sutd.edu.sg</w:t>
      </w:r>
      <w:r>
        <w:rPr>
          <w:rStyle w:val="12"/>
          <w:color w:val="auto"/>
        </w:rPr>
        <w:fldChar w:fldCharType="end"/>
      </w:r>
      <w:r>
        <w:rPr>
          <w:rFonts w:hint="eastAsia"/>
        </w:rPr>
        <w:t xml:space="preserve">/ </w:t>
      </w:r>
    </w:p>
    <w:p w14:paraId="109B76EC">
      <w:pPr>
        <w:ind w:firstLine="480"/>
      </w:pPr>
      <w:r>
        <w:t>联系人</w:t>
      </w:r>
      <w:r>
        <w:rPr>
          <w:rFonts w:hint="eastAsia"/>
          <w:lang w:eastAsia="zh-CN"/>
        </w:rPr>
        <w:t>：</w:t>
      </w:r>
      <w:r>
        <w:rPr>
          <w:rFonts w:hint="eastAsia"/>
        </w:rPr>
        <w:t xml:space="preserve">新加坡科技设计大学 </w:t>
      </w:r>
      <w:r>
        <w:t>王老师 13364055883</w:t>
      </w:r>
      <w:r>
        <w:rPr>
          <w:rFonts w:hint="eastAsia"/>
        </w:rPr>
        <w:t>（微信同号）</w:t>
      </w:r>
    </w:p>
    <w:p w14:paraId="5BF2C521">
      <w:pPr>
        <w:pStyle w:val="2"/>
        <w:ind w:firstLine="640"/>
        <w:rPr>
          <w:rStyle w:val="11"/>
          <w:rFonts w:hint="eastAsia" w:ascii="黑体" w:hAnsi="黑体" w:eastAsia="黑体" w:cs="黑体"/>
          <w:b/>
          <w:bCs/>
        </w:rPr>
      </w:pPr>
      <w:r>
        <w:rPr>
          <w:rStyle w:val="11"/>
          <w:rFonts w:hint="eastAsia" w:ascii="黑体" w:hAnsi="黑体" w:eastAsia="黑体" w:cs="黑体"/>
          <w:b/>
          <w:bCs/>
        </w:rPr>
        <w:t>八、SUTD校园实景</w:t>
      </w:r>
    </w:p>
    <w:p w14:paraId="56BC44F6">
      <w:pPr>
        <w:tabs>
          <w:tab w:val="left" w:pos="0"/>
          <w:tab w:val="left" w:pos="1765"/>
        </w:tabs>
        <w:spacing w:line="460" w:lineRule="exact"/>
        <w:ind w:firstLine="0" w:firstLineChars="0"/>
        <w:jc w:val="center"/>
      </w:pPr>
      <w:r>
        <w:rPr>
          <w:rFonts w:hint="eastAsia"/>
        </w:rPr>
        <w:drawing>
          <wp:anchor distT="0" distB="0" distL="114300" distR="114300" simplePos="0" relativeHeight="251659264" behindDoc="0" locked="0" layoutInCell="1" allowOverlap="1">
            <wp:simplePos x="0" y="0"/>
            <wp:positionH relativeFrom="column">
              <wp:posOffset>8255</wp:posOffset>
            </wp:positionH>
            <wp:positionV relativeFrom="paragraph">
              <wp:posOffset>271145</wp:posOffset>
            </wp:positionV>
            <wp:extent cx="5244465" cy="2413635"/>
            <wp:effectExtent l="0" t="0" r="13335" b="5715"/>
            <wp:wrapTopAndBottom/>
            <wp:docPr id="1" name="图片 1" descr="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7777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44465" cy="2413635"/>
                    </a:xfrm>
                    <a:prstGeom prst="rect">
                      <a:avLst/>
                    </a:prstGeom>
                  </pic:spPr>
                </pic:pic>
              </a:graphicData>
            </a:graphic>
          </wp:anchor>
        </w:drawing>
      </w:r>
      <w:r>
        <w:rPr>
          <w:rFonts w:hint="eastAsia"/>
        </w:rPr>
        <w:t>图1 SUTD设计独特的校园建筑风格</w:t>
      </w:r>
    </w:p>
    <w:p w14:paraId="2C2D8362">
      <w:pPr>
        <w:ind w:firstLine="0" w:firstLineChars="0"/>
      </w:pPr>
    </w:p>
    <w:p w14:paraId="42D524F0">
      <w:pPr>
        <w:tabs>
          <w:tab w:val="left" w:pos="0"/>
          <w:tab w:val="left" w:pos="1765"/>
        </w:tabs>
        <w:spacing w:line="460" w:lineRule="exact"/>
        <w:ind w:firstLine="0" w:firstLineChars="0"/>
        <w:jc w:val="center"/>
      </w:pPr>
      <w:r>
        <w:rPr>
          <w:rFonts w:hint="eastAsia"/>
        </w:rPr>
        <w:drawing>
          <wp:anchor distT="0" distB="0" distL="114300" distR="114300" simplePos="0" relativeHeight="251660288" behindDoc="0" locked="0" layoutInCell="1" allowOverlap="1">
            <wp:simplePos x="0" y="0"/>
            <wp:positionH relativeFrom="column">
              <wp:posOffset>28575</wp:posOffset>
            </wp:positionH>
            <wp:positionV relativeFrom="paragraph">
              <wp:posOffset>3810</wp:posOffset>
            </wp:positionV>
            <wp:extent cx="5223510" cy="3062605"/>
            <wp:effectExtent l="0" t="0" r="15240" b="4445"/>
            <wp:wrapTopAndBottom/>
            <wp:docPr id="2019374280" name="图片 2019374280" descr="0864acbe3005d23bd1c2179f09ed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74280" name="图片 2019374280" descr="0864acbe3005d23bd1c2179f09edb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23510" cy="3062605"/>
                    </a:xfrm>
                    <a:prstGeom prst="rect">
                      <a:avLst/>
                    </a:prstGeom>
                  </pic:spPr>
                </pic:pic>
              </a:graphicData>
            </a:graphic>
          </wp:anchor>
        </w:drawing>
      </w:r>
      <w:r>
        <w:rPr>
          <w:rFonts w:hint="eastAsia"/>
        </w:rPr>
        <w:t>图2 SUTD设计独特的校园建筑风格</w:t>
      </w:r>
    </w:p>
    <w:p w14:paraId="6E1DDFA7">
      <w:pPr>
        <w:ind w:firstLine="0" w:firstLineChars="0"/>
      </w:pPr>
    </w:p>
    <w:p w14:paraId="53AF36EA">
      <w:pPr>
        <w:tabs>
          <w:tab w:val="left" w:pos="2913"/>
        </w:tabs>
        <w:ind w:firstLine="0" w:firstLineChars="0"/>
        <w:jc w:val="center"/>
      </w:pPr>
      <w:r>
        <w:rPr>
          <w:rFonts w:hint="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230505</wp:posOffset>
            </wp:positionV>
            <wp:extent cx="5245735" cy="2541270"/>
            <wp:effectExtent l="0" t="0" r="12065" b="11430"/>
            <wp:wrapSquare wrapText="bothSides"/>
            <wp:docPr id="3" name="图片 3" descr="8f5c8fb36bb5e782f8ae1058c41f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5c8fb36bb5e782f8ae1058c41f676"/>
                    <pic:cNvPicPr>
                      <a:picLocks noChangeAspect="1"/>
                    </pic:cNvPicPr>
                  </pic:nvPicPr>
                  <pic:blipFill>
                    <a:blip r:embed="rId14" cstate="print">
                      <a:extLst>
                        <a:ext uri="{28A0092B-C50C-407E-A947-70E740481C1C}">
                          <a14:useLocalDpi xmlns:a14="http://schemas.microsoft.com/office/drawing/2010/main" val="0"/>
                        </a:ext>
                      </a:extLst>
                    </a:blip>
                    <a:srcRect t="26409" b="8716"/>
                    <a:stretch>
                      <a:fillRect/>
                    </a:stretch>
                  </pic:blipFill>
                  <pic:spPr>
                    <a:xfrm>
                      <a:off x="0" y="0"/>
                      <a:ext cx="5245735" cy="2541270"/>
                    </a:xfrm>
                    <a:prstGeom prst="rect">
                      <a:avLst/>
                    </a:prstGeom>
                  </pic:spPr>
                </pic:pic>
              </a:graphicData>
            </a:graphic>
          </wp:anchor>
        </w:drawing>
      </w:r>
      <w:r>
        <w:rPr>
          <w:rFonts w:hint="eastAsia"/>
        </w:rPr>
        <w:t>图3 SUTD中西融合建筑</w:t>
      </w:r>
    </w:p>
    <w:p w14:paraId="2FBADF81">
      <w:pPr>
        <w:tabs>
          <w:tab w:val="left" w:pos="0"/>
          <w:tab w:val="left" w:pos="1765"/>
        </w:tabs>
        <w:spacing w:line="460" w:lineRule="exact"/>
        <w:ind w:firstLine="0" w:firstLineChars="0"/>
      </w:pPr>
    </w:p>
    <w:p w14:paraId="2F70A944">
      <w:pPr>
        <w:tabs>
          <w:tab w:val="left" w:pos="0"/>
          <w:tab w:val="left" w:pos="1765"/>
        </w:tabs>
        <w:spacing w:line="460" w:lineRule="exact"/>
        <w:ind w:firstLine="0" w:firstLineChars="0"/>
      </w:pPr>
      <w:r>
        <w:rPr>
          <w:rStyle w:val="11"/>
          <w:rFonts w:hint="eastAsia" w:ascii="微软雅黑" w:hAnsi="微软雅黑" w:eastAsia="微软雅黑" w:cs="微软雅黑"/>
          <w:spacing w:val="15"/>
          <w:szCs w:val="21"/>
        </w:rPr>
        <w:drawing>
          <wp:anchor distT="0" distB="0" distL="114300" distR="114300" simplePos="0" relativeHeight="251661312" behindDoc="0" locked="0" layoutInCell="1" allowOverlap="1">
            <wp:simplePos x="0" y="0"/>
            <wp:positionH relativeFrom="column">
              <wp:posOffset>1270</wp:posOffset>
            </wp:positionH>
            <wp:positionV relativeFrom="paragraph">
              <wp:posOffset>5715</wp:posOffset>
            </wp:positionV>
            <wp:extent cx="5266055" cy="2721610"/>
            <wp:effectExtent l="0" t="0" r="10795" b="2540"/>
            <wp:wrapSquare wrapText="bothSides"/>
            <wp:docPr id="1911706025" name="图片 1911706025" descr="48b0110168e73e866d5cb87df7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6025" name="图片 1911706025" descr="48b0110168e73e866d5cb87df779269"/>
                    <pic:cNvPicPr>
                      <a:picLocks noChangeAspect="1"/>
                    </pic:cNvPicPr>
                  </pic:nvPicPr>
                  <pic:blipFill>
                    <a:blip r:embed="rId15" cstate="print">
                      <a:extLst>
                        <a:ext uri="{28A0092B-C50C-407E-A947-70E740481C1C}">
                          <a14:useLocalDpi xmlns:a14="http://schemas.microsoft.com/office/drawing/2010/main" val="0"/>
                        </a:ext>
                      </a:extLst>
                    </a:blip>
                    <a:srcRect l="182" t="-272" r="-182" b="16871"/>
                    <a:stretch>
                      <a:fillRect/>
                    </a:stretch>
                  </pic:blipFill>
                  <pic:spPr>
                    <a:xfrm>
                      <a:off x="0" y="0"/>
                      <a:ext cx="5266055" cy="2721610"/>
                    </a:xfrm>
                    <a:prstGeom prst="rect">
                      <a:avLst/>
                    </a:prstGeom>
                  </pic:spPr>
                </pic:pic>
              </a:graphicData>
            </a:graphic>
          </wp:anchor>
        </w:drawing>
      </w:r>
    </w:p>
    <w:p w14:paraId="5031DD16">
      <w:pPr>
        <w:tabs>
          <w:tab w:val="left" w:pos="0"/>
          <w:tab w:val="left" w:pos="1765"/>
        </w:tabs>
        <w:spacing w:line="460" w:lineRule="exact"/>
        <w:ind w:firstLine="0" w:firstLineChars="0"/>
        <w:jc w:val="center"/>
      </w:pPr>
      <w:r>
        <w:rPr>
          <w:rFonts w:hint="eastAsia"/>
        </w:rPr>
        <w:t>图4 SUTD致力于培养跨学科交叉且</w:t>
      </w:r>
      <w:r>
        <w:t>具有国际视野和领导才能的复合型人才</w:t>
      </w:r>
    </w:p>
    <w:p w14:paraId="72AB3D8F">
      <w:pPr>
        <w:tabs>
          <w:tab w:val="left" w:pos="0"/>
          <w:tab w:val="left" w:pos="1765"/>
        </w:tabs>
        <w:spacing w:line="460" w:lineRule="exact"/>
        <w:ind w:firstLine="0" w:firstLineChars="0"/>
        <w:jc w:val="center"/>
        <w:rPr>
          <w:rFonts w:hint="eastAsia"/>
        </w:rPr>
      </w:pPr>
      <w:r>
        <w:drawing>
          <wp:anchor distT="0" distB="0" distL="114300" distR="114300" simplePos="0" relativeHeight="251663360" behindDoc="0" locked="0" layoutInCell="1" allowOverlap="1">
            <wp:simplePos x="0" y="0"/>
            <wp:positionH relativeFrom="column">
              <wp:posOffset>32385</wp:posOffset>
            </wp:positionH>
            <wp:positionV relativeFrom="paragraph">
              <wp:posOffset>365760</wp:posOffset>
            </wp:positionV>
            <wp:extent cx="5274310" cy="2569210"/>
            <wp:effectExtent l="0" t="0" r="2540" b="254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6"/>
                    <a:stretch>
                      <a:fillRect/>
                    </a:stretch>
                  </pic:blipFill>
                  <pic:spPr>
                    <a:xfrm>
                      <a:off x="0" y="0"/>
                      <a:ext cx="5274310" cy="2569210"/>
                    </a:xfrm>
                    <a:prstGeom prst="rect">
                      <a:avLst/>
                    </a:prstGeom>
                  </pic:spPr>
                </pic:pic>
              </a:graphicData>
            </a:graphic>
          </wp:anchor>
        </w:drawing>
      </w:r>
    </w:p>
    <w:p w14:paraId="51E818BC">
      <w:pPr>
        <w:tabs>
          <w:tab w:val="left" w:pos="0"/>
          <w:tab w:val="left" w:pos="1765"/>
        </w:tabs>
        <w:spacing w:line="460" w:lineRule="exact"/>
        <w:ind w:firstLine="0" w:firstLineChars="0"/>
        <w:jc w:val="center"/>
        <w:rPr>
          <w:rFonts w:hint="eastAsia" w:eastAsia="仿宋"/>
          <w:lang w:val="en-US" w:eastAsia="zh-CN"/>
        </w:rPr>
      </w:pPr>
      <w:r>
        <w:rPr>
          <w:rFonts w:hint="eastAsia"/>
        </w:rPr>
        <w:t>图</w:t>
      </w:r>
      <w:r>
        <w:rPr>
          <w:rFonts w:hint="eastAsia"/>
          <w:lang w:val="en-US" w:eastAsia="zh-CN"/>
        </w:rPr>
        <w:t>5</w:t>
      </w:r>
      <w:r>
        <w:rPr>
          <w:rFonts w:hint="eastAsia"/>
        </w:rPr>
        <w:t xml:space="preserve"> SUTD</w:t>
      </w:r>
      <w:r>
        <w:rPr>
          <w:rFonts w:hint="eastAsia"/>
          <w:lang w:val="en-US" w:eastAsia="zh-CN"/>
        </w:rPr>
        <w:t>制造实验室</w:t>
      </w:r>
    </w:p>
    <w:p w14:paraId="3E6E6C95"/>
    <w:p w14:paraId="254D935B">
      <w:pPr>
        <w:tabs>
          <w:tab w:val="left" w:pos="2913"/>
        </w:tabs>
        <w:ind w:firstLine="0" w:firstLineChars="0"/>
        <w:jc w:val="both"/>
      </w:pPr>
    </w:p>
    <w:p w14:paraId="63FC5E6F">
      <w:pPr>
        <w:tabs>
          <w:tab w:val="left" w:pos="2913"/>
        </w:tabs>
        <w:ind w:firstLine="0" w:firstLineChars="0"/>
        <w:jc w:val="both"/>
      </w:pPr>
      <w:r>
        <w:drawing>
          <wp:anchor distT="0" distB="0" distL="114300" distR="114300" simplePos="0" relativeHeight="251664384" behindDoc="0" locked="0" layoutInCell="1" allowOverlap="1">
            <wp:simplePos x="0" y="0"/>
            <wp:positionH relativeFrom="column">
              <wp:posOffset>35560</wp:posOffset>
            </wp:positionH>
            <wp:positionV relativeFrom="paragraph">
              <wp:posOffset>234315</wp:posOffset>
            </wp:positionV>
            <wp:extent cx="5274310" cy="3037840"/>
            <wp:effectExtent l="0" t="0" r="2540" b="10160"/>
            <wp:wrapTopAndBottom/>
            <wp:docPr id="5" name="Picture 4" descr="A group of people sitting on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on benches&#10;&#10;Description automatically generated"/>
                    <pic:cNvPicPr>
                      <a:picLocks noChangeAspect="1"/>
                    </pic:cNvPicPr>
                  </pic:nvPicPr>
                  <pic:blipFill>
                    <a:blip r:embed="rId17"/>
                    <a:srcRect b="4417"/>
                    <a:stretch>
                      <a:fillRect/>
                    </a:stretch>
                  </pic:blipFill>
                  <pic:spPr>
                    <a:xfrm>
                      <a:off x="0" y="0"/>
                      <a:ext cx="5274310" cy="3037840"/>
                    </a:xfrm>
                    <a:prstGeom prst="rect">
                      <a:avLst/>
                    </a:prstGeom>
                  </pic:spPr>
                </pic:pic>
              </a:graphicData>
            </a:graphic>
          </wp:anchor>
        </w:drawing>
      </w:r>
    </w:p>
    <w:p w14:paraId="41B351E1">
      <w:pPr>
        <w:tabs>
          <w:tab w:val="left" w:pos="0"/>
          <w:tab w:val="left" w:pos="1765"/>
        </w:tabs>
        <w:spacing w:line="460" w:lineRule="exact"/>
        <w:ind w:firstLine="0" w:firstLineChars="0"/>
        <w:jc w:val="center"/>
        <w:rPr>
          <w:rFonts w:hint="eastAsia"/>
        </w:rPr>
      </w:pPr>
      <w:r>
        <w:rPr>
          <w:rFonts w:hint="eastAsia"/>
        </w:rPr>
        <w:t>图</w:t>
      </w:r>
      <w:r>
        <w:rPr>
          <w:rFonts w:hint="eastAsia"/>
          <w:lang w:val="en-US" w:eastAsia="zh-CN"/>
        </w:rPr>
        <w:t>6</w:t>
      </w:r>
      <w:r>
        <w:rPr>
          <w:rFonts w:hint="eastAsia"/>
        </w:rPr>
        <w:t xml:space="preserve"> 行业领袖交流研讨会</w:t>
      </w:r>
    </w:p>
    <w:p w14:paraId="61B0A503">
      <w:pPr>
        <w:tabs>
          <w:tab w:val="left" w:pos="0"/>
          <w:tab w:val="left" w:pos="1765"/>
        </w:tabs>
        <w:spacing w:line="460" w:lineRule="exact"/>
        <w:ind w:firstLine="0" w:firstLineChars="0"/>
        <w:jc w:val="center"/>
        <w:rPr>
          <w:rFonts w:hint="eastAsia"/>
        </w:rPr>
      </w:pPr>
    </w:p>
    <w:p w14:paraId="1965EC01">
      <w:pPr>
        <w:tabs>
          <w:tab w:val="left" w:pos="0"/>
          <w:tab w:val="left" w:pos="1765"/>
        </w:tabs>
        <w:spacing w:line="460" w:lineRule="exact"/>
        <w:ind w:firstLine="0" w:firstLineChars="0"/>
        <w:jc w:val="center"/>
        <w:rPr>
          <w:rFonts w:hint="default" w:eastAsia="仿宋"/>
          <w:lang w:val="en-US" w:eastAsia="zh-CN"/>
        </w:rPr>
      </w:pPr>
    </w:p>
    <w:p w14:paraId="042A5688">
      <w:pPr>
        <w:tabs>
          <w:tab w:val="left" w:pos="2913"/>
        </w:tabs>
        <w:ind w:firstLine="0" w:firstLineChars="0"/>
        <w:jc w:val="center"/>
      </w:pPr>
    </w:p>
    <w:p w14:paraId="2540E173">
      <w:pPr>
        <w:tabs>
          <w:tab w:val="left" w:pos="2913"/>
        </w:tabs>
        <w:ind w:firstLine="0" w:firstLineChars="0"/>
        <w:jc w:val="center"/>
      </w:pPr>
    </w:p>
    <w:p w14:paraId="7A19409C">
      <w:pPr>
        <w:tabs>
          <w:tab w:val="left" w:pos="2913"/>
        </w:tabs>
        <w:ind w:firstLine="0" w:firstLineChars="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D9515">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96B4">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652F6">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480"/>
      </w:pPr>
      <w:r>
        <w:separator/>
      </w:r>
    </w:p>
  </w:footnote>
  <w:footnote w:type="continuationSeparator" w:id="3">
    <w:p>
      <w:pPr>
        <w:spacing w:line="240" w:lineRule="auto"/>
        <w:ind w:firstLine="480"/>
      </w:pPr>
      <w:r>
        <w:continuationSeparator/>
      </w:r>
    </w:p>
  </w:footnote>
  <w:footnote w:id="0">
    <w:p w14:paraId="75BF806D">
      <w:pPr>
        <w:pStyle w:val="6"/>
        <w:spacing w:line="400" w:lineRule="exact"/>
        <w:ind w:firstLine="360"/>
      </w:pPr>
      <w:r>
        <w:rPr>
          <w:rStyle w:val="13"/>
        </w:rPr>
        <w:footnoteRef/>
      </w:r>
      <w:r>
        <w:t xml:space="preserve"> </w:t>
      </w:r>
      <w:r>
        <w:rPr>
          <w:rFonts w:hint="eastAsia"/>
        </w:rPr>
        <w:t>'The global state of the art in engineering education', a study commissioned by the Massachusetts Institute of Technology,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0B23B">
    <w:pPr>
      <w:pStyle w:val="5"/>
      <w:spacing w:line="240" w:lineRule="auto"/>
      <w:ind w:firstLine="360"/>
      <w:rPr>
        <w:rFonts w:hint="eastAsia" w:eastAsia="仿宋"/>
        <w:lang w:eastAsia="zh-CN"/>
      </w:rPr>
    </w:pPr>
    <w:r>
      <w:rPr>
        <w:rFonts w:hint="eastAsia"/>
        <w:lang w:val="en-US" w:eastAsia="zh-CN"/>
      </w:rPr>
      <w:t xml:space="preserve">                                                                    </w:t>
    </w:r>
    <w:r>
      <w:rPr>
        <w:rFonts w:hint="eastAsia" w:eastAsia="仿宋"/>
        <w:lang w:eastAsia="zh-CN"/>
      </w:rPr>
      <w:drawing>
        <wp:inline distT="0" distB="0" distL="114300" distR="114300">
          <wp:extent cx="1149350" cy="474980"/>
          <wp:effectExtent l="0" t="0" r="3175" b="1270"/>
          <wp:docPr id="2" name="图片 2" descr="微信图片_202406130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13093935"/>
                  <pic:cNvPicPr>
                    <a:picLocks noChangeAspect="1"/>
                  </pic:cNvPicPr>
                </pic:nvPicPr>
                <pic:blipFill>
                  <a:blip r:embed="rId1"/>
                  <a:stretch>
                    <a:fillRect/>
                  </a:stretch>
                </pic:blipFill>
                <pic:spPr>
                  <a:xfrm>
                    <a:off x="0" y="0"/>
                    <a:ext cx="1149350" cy="47498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1F196">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0F320">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48EE2F"/>
    <w:multiLevelType w:val="singleLevel"/>
    <w:tmpl w:val="D448EE2F"/>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xMzUyNzY4MGExY2JhOGJlYTMzMzBjYzFlMWU0OWUifQ=="/>
  </w:docVars>
  <w:rsids>
    <w:rsidRoot w:val="00676C10"/>
    <w:rsid w:val="00044406"/>
    <w:rsid w:val="000772DB"/>
    <w:rsid w:val="000809ED"/>
    <w:rsid w:val="000C3A85"/>
    <w:rsid w:val="000D09C6"/>
    <w:rsid w:val="000E2791"/>
    <w:rsid w:val="000F298C"/>
    <w:rsid w:val="000F4C7B"/>
    <w:rsid w:val="0010798B"/>
    <w:rsid w:val="00127372"/>
    <w:rsid w:val="0018703A"/>
    <w:rsid w:val="001C5377"/>
    <w:rsid w:val="002208E3"/>
    <w:rsid w:val="00230185"/>
    <w:rsid w:val="00246721"/>
    <w:rsid w:val="00277A51"/>
    <w:rsid w:val="002B0DD9"/>
    <w:rsid w:val="002E4391"/>
    <w:rsid w:val="002F1F50"/>
    <w:rsid w:val="003B6F4B"/>
    <w:rsid w:val="003F04CD"/>
    <w:rsid w:val="0043688B"/>
    <w:rsid w:val="00483F0E"/>
    <w:rsid w:val="0049493E"/>
    <w:rsid w:val="004C0B4F"/>
    <w:rsid w:val="004E3C69"/>
    <w:rsid w:val="00512B97"/>
    <w:rsid w:val="00523187"/>
    <w:rsid w:val="00545AF4"/>
    <w:rsid w:val="005A30E6"/>
    <w:rsid w:val="005A75BF"/>
    <w:rsid w:val="005A79D0"/>
    <w:rsid w:val="005B0DBF"/>
    <w:rsid w:val="005F041F"/>
    <w:rsid w:val="0060272F"/>
    <w:rsid w:val="00606865"/>
    <w:rsid w:val="006153E0"/>
    <w:rsid w:val="006311D7"/>
    <w:rsid w:val="00643D1F"/>
    <w:rsid w:val="00676C10"/>
    <w:rsid w:val="006A1FC1"/>
    <w:rsid w:val="006B0492"/>
    <w:rsid w:val="006C00C7"/>
    <w:rsid w:val="006F6F6B"/>
    <w:rsid w:val="007103FF"/>
    <w:rsid w:val="00723614"/>
    <w:rsid w:val="00797FAC"/>
    <w:rsid w:val="00801D0B"/>
    <w:rsid w:val="00823C65"/>
    <w:rsid w:val="00825746"/>
    <w:rsid w:val="0083065D"/>
    <w:rsid w:val="00831E2B"/>
    <w:rsid w:val="008B2663"/>
    <w:rsid w:val="008F2FDF"/>
    <w:rsid w:val="00974424"/>
    <w:rsid w:val="009868BB"/>
    <w:rsid w:val="00A036D2"/>
    <w:rsid w:val="00A31311"/>
    <w:rsid w:val="00A36AF0"/>
    <w:rsid w:val="00A47B60"/>
    <w:rsid w:val="00A553FD"/>
    <w:rsid w:val="00A55E77"/>
    <w:rsid w:val="00A56282"/>
    <w:rsid w:val="00AB26A5"/>
    <w:rsid w:val="00AC2878"/>
    <w:rsid w:val="00AF329E"/>
    <w:rsid w:val="00B40850"/>
    <w:rsid w:val="00B63016"/>
    <w:rsid w:val="00BC6AE1"/>
    <w:rsid w:val="00BD7AD7"/>
    <w:rsid w:val="00BF63E0"/>
    <w:rsid w:val="00C01571"/>
    <w:rsid w:val="00C23940"/>
    <w:rsid w:val="00C645E2"/>
    <w:rsid w:val="00C757B9"/>
    <w:rsid w:val="00C77DA4"/>
    <w:rsid w:val="00C853C4"/>
    <w:rsid w:val="00C85C27"/>
    <w:rsid w:val="00CD2D99"/>
    <w:rsid w:val="00D20003"/>
    <w:rsid w:val="00D3723D"/>
    <w:rsid w:val="00D653B4"/>
    <w:rsid w:val="00D84A5B"/>
    <w:rsid w:val="00DB4B46"/>
    <w:rsid w:val="00DD4250"/>
    <w:rsid w:val="00DD4F1C"/>
    <w:rsid w:val="00E211D5"/>
    <w:rsid w:val="00E330D2"/>
    <w:rsid w:val="00E37F7B"/>
    <w:rsid w:val="00E86074"/>
    <w:rsid w:val="00EB1294"/>
    <w:rsid w:val="00EE10A9"/>
    <w:rsid w:val="00EE4533"/>
    <w:rsid w:val="00F0076E"/>
    <w:rsid w:val="00F16CE8"/>
    <w:rsid w:val="00F26DD5"/>
    <w:rsid w:val="00F31A3A"/>
    <w:rsid w:val="00F446F8"/>
    <w:rsid w:val="00F53293"/>
    <w:rsid w:val="00F572A4"/>
    <w:rsid w:val="00F9779B"/>
    <w:rsid w:val="00FA4332"/>
    <w:rsid w:val="00FA549E"/>
    <w:rsid w:val="00FB0CFA"/>
    <w:rsid w:val="00FB77FA"/>
    <w:rsid w:val="00FD4C56"/>
    <w:rsid w:val="00FD6437"/>
    <w:rsid w:val="00FF1342"/>
    <w:rsid w:val="01115B19"/>
    <w:rsid w:val="042518DB"/>
    <w:rsid w:val="044E5DAF"/>
    <w:rsid w:val="055D05D7"/>
    <w:rsid w:val="0A6A182D"/>
    <w:rsid w:val="0CA23AC9"/>
    <w:rsid w:val="103E4C17"/>
    <w:rsid w:val="16BF4D5E"/>
    <w:rsid w:val="17385085"/>
    <w:rsid w:val="17487663"/>
    <w:rsid w:val="18761953"/>
    <w:rsid w:val="19197C97"/>
    <w:rsid w:val="192C5ACB"/>
    <w:rsid w:val="1A6745A4"/>
    <w:rsid w:val="213A0084"/>
    <w:rsid w:val="22A332D9"/>
    <w:rsid w:val="24CB20CA"/>
    <w:rsid w:val="297B506E"/>
    <w:rsid w:val="2AAB712D"/>
    <w:rsid w:val="2DCA6E34"/>
    <w:rsid w:val="31726DD1"/>
    <w:rsid w:val="34B13CE4"/>
    <w:rsid w:val="34BA7718"/>
    <w:rsid w:val="34DA3AEF"/>
    <w:rsid w:val="36920C52"/>
    <w:rsid w:val="36CD3A43"/>
    <w:rsid w:val="3BB865B6"/>
    <w:rsid w:val="3C5E1B1A"/>
    <w:rsid w:val="3CDF4DE6"/>
    <w:rsid w:val="3E423B6C"/>
    <w:rsid w:val="3F5BB866"/>
    <w:rsid w:val="446C2633"/>
    <w:rsid w:val="45A642A7"/>
    <w:rsid w:val="45A950AF"/>
    <w:rsid w:val="472B5DA9"/>
    <w:rsid w:val="48BC4F8F"/>
    <w:rsid w:val="4910358D"/>
    <w:rsid w:val="4AE225A7"/>
    <w:rsid w:val="4BD765E4"/>
    <w:rsid w:val="4D997BC9"/>
    <w:rsid w:val="4F5D1139"/>
    <w:rsid w:val="4FCB46B2"/>
    <w:rsid w:val="50C832E2"/>
    <w:rsid w:val="55E24503"/>
    <w:rsid w:val="5675777A"/>
    <w:rsid w:val="58920DA2"/>
    <w:rsid w:val="5C9A5692"/>
    <w:rsid w:val="5FAA5D15"/>
    <w:rsid w:val="5FB72005"/>
    <w:rsid w:val="61093916"/>
    <w:rsid w:val="62E47D4B"/>
    <w:rsid w:val="637A50FD"/>
    <w:rsid w:val="63F55AF5"/>
    <w:rsid w:val="69960369"/>
    <w:rsid w:val="6B664539"/>
    <w:rsid w:val="6D8D66D2"/>
    <w:rsid w:val="6E24269F"/>
    <w:rsid w:val="706F77D0"/>
    <w:rsid w:val="70B467EF"/>
    <w:rsid w:val="751A7E82"/>
    <w:rsid w:val="78370287"/>
    <w:rsid w:val="79C63670"/>
    <w:rsid w:val="7D7635FF"/>
    <w:rsid w:val="7E057BC6"/>
    <w:rsid w:val="7F1B06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16"/>
    <w:qFormat/>
    <w:uiPriority w:val="9"/>
    <w:pPr>
      <w:widowControl/>
      <w:spacing w:before="100" w:beforeAutospacing="1" w:after="100" w:afterAutospacing="1" w:line="600" w:lineRule="exact"/>
      <w:jc w:val="left"/>
      <w:outlineLvl w:val="0"/>
    </w:pPr>
    <w:rPr>
      <w:rFonts w:ascii="宋体" w:hAnsi="宋体" w:eastAsia="黑体" w:cs="宋体"/>
      <w:b/>
      <w:bCs/>
      <w:kern w:val="36"/>
      <w:sz w:val="32"/>
      <w:szCs w:val="160"/>
    </w:rPr>
  </w:style>
  <w:style w:type="paragraph" w:styleId="3">
    <w:name w:val="heading 2"/>
    <w:basedOn w:val="1"/>
    <w:next w:val="1"/>
    <w:link w:val="23"/>
    <w:unhideWhenUsed/>
    <w:qFormat/>
    <w:uiPriority w:val="9"/>
    <w:pPr>
      <w:keepNext/>
      <w:keepLines/>
      <w:spacing w:before="120" w:after="120" w:line="460" w:lineRule="exact"/>
      <w:outlineLvl w:val="1"/>
    </w:pPr>
    <w:rPr>
      <w:rFonts w:asciiTheme="majorHAnsi" w:hAnsiTheme="majorHAnsi" w:cstheme="majorBidi"/>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tabs>
        <w:tab w:val="center" w:pos="4153"/>
        <w:tab w:val="right" w:pos="8306"/>
      </w:tabs>
      <w:snapToGrid w:val="0"/>
      <w:jc w:val="center"/>
    </w:pPr>
    <w:rPr>
      <w:sz w:val="18"/>
      <w:szCs w:val="18"/>
    </w:rPr>
  </w:style>
  <w:style w:type="paragraph" w:styleId="6">
    <w:name w:val="footnote text"/>
    <w:basedOn w:val="1"/>
    <w:link w:val="22"/>
    <w:semiHidden/>
    <w:unhideWhenUsed/>
    <w:qFormat/>
    <w:uiPriority w:val="99"/>
    <w:pPr>
      <w:snapToGrid w:val="0"/>
      <w:jc w:val="left"/>
    </w:pPr>
    <w:rPr>
      <w:sz w:val="18"/>
      <w:szCs w:val="18"/>
    </w:rPr>
  </w:style>
  <w:style w:type="paragraph" w:styleId="7">
    <w:name w:val="Normal (Web)"/>
    <w:basedOn w:val="1"/>
    <w:unhideWhenUsed/>
    <w:qFormat/>
    <w:uiPriority w:val="99"/>
    <w:pPr>
      <w:widowControl/>
      <w:spacing w:before="156" w:beforeLines="50" w:after="156" w:afterLines="50" w:line="240" w:lineRule="auto"/>
      <w:ind w:firstLine="0" w:firstLineChars="0"/>
      <w:jc w:val="center"/>
    </w:pPr>
    <w:rPr>
      <w:rFonts w:ascii="宋体" w:hAnsi="宋体" w:eastAsia="宋体" w:cs="宋体"/>
      <w:kern w:val="0"/>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styleId="13">
    <w:name w:val="footnote reference"/>
    <w:basedOn w:val="10"/>
    <w:semiHidden/>
    <w:unhideWhenUsed/>
    <w:qFormat/>
    <w:uiPriority w:val="99"/>
    <w:rPr>
      <w:vertAlign w:val="superscript"/>
    </w:rPr>
  </w:style>
  <w:style w:type="character" w:customStyle="1" w:styleId="14">
    <w:name w:val="页眉 字符"/>
    <w:basedOn w:val="10"/>
    <w:link w:val="5"/>
    <w:qFormat/>
    <w:uiPriority w:val="99"/>
    <w:rPr>
      <w:sz w:val="18"/>
      <w:szCs w:val="18"/>
    </w:rPr>
  </w:style>
  <w:style w:type="character" w:customStyle="1" w:styleId="15">
    <w:name w:val="页脚 字符"/>
    <w:basedOn w:val="10"/>
    <w:link w:val="4"/>
    <w:qFormat/>
    <w:uiPriority w:val="99"/>
    <w:rPr>
      <w:sz w:val="18"/>
      <w:szCs w:val="18"/>
    </w:rPr>
  </w:style>
  <w:style w:type="character" w:customStyle="1" w:styleId="16">
    <w:name w:val="标题 1 字符"/>
    <w:basedOn w:val="10"/>
    <w:link w:val="2"/>
    <w:qFormat/>
    <w:uiPriority w:val="9"/>
    <w:rPr>
      <w:rFonts w:ascii="宋体" w:hAnsi="宋体" w:eastAsia="黑体" w:cs="宋体"/>
      <w:b/>
      <w:bCs/>
      <w:kern w:val="36"/>
      <w:sz w:val="32"/>
      <w:szCs w:val="160"/>
    </w:rPr>
  </w:style>
  <w:style w:type="paragraph" w:styleId="17">
    <w:name w:val="List Paragraph"/>
    <w:basedOn w:val="1"/>
    <w:qFormat/>
    <w:uiPriority w:val="34"/>
    <w:pPr>
      <w:widowControl/>
      <w:ind w:firstLine="420"/>
      <w:jc w:val="left"/>
    </w:pPr>
    <w:rPr>
      <w:rFonts w:ascii="宋体" w:hAnsi="宋体" w:eastAsia="宋体" w:cs="宋体"/>
      <w:kern w:val="0"/>
      <w:szCs w:val="24"/>
    </w:rPr>
  </w:style>
  <w:style w:type="character" w:customStyle="1" w:styleId="18">
    <w:name w:val="未处理的提及1"/>
    <w:basedOn w:val="10"/>
    <w:semiHidden/>
    <w:unhideWhenUsed/>
    <w:qFormat/>
    <w:uiPriority w:val="99"/>
    <w:rPr>
      <w:color w:val="605E5C"/>
      <w:shd w:val="clear" w:color="auto" w:fill="E1DFDD"/>
    </w:rPr>
  </w:style>
  <w:style w:type="paragraph" w:styleId="19">
    <w:name w:val="Quote"/>
    <w:basedOn w:val="1"/>
    <w:next w:val="1"/>
    <w:link w:val="2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
    <w:name w:val="引用 字符"/>
    <w:basedOn w:val="10"/>
    <w:link w:val="19"/>
    <w:qFormat/>
    <w:uiPriority w:val="29"/>
    <w:rPr>
      <w:i/>
      <w:iCs/>
      <w:color w:val="404040" w:themeColor="text1" w:themeTint="BF"/>
      <w14:textFill>
        <w14:solidFill>
          <w14:schemeClr w14:val="tx1">
            <w14:lumMod w14:val="75000"/>
            <w14:lumOff w14:val="25000"/>
          </w14:schemeClr>
        </w14:solidFill>
      </w14:textFill>
    </w:rPr>
  </w:style>
  <w:style w:type="character" w:customStyle="1" w:styleId="21">
    <w:name w:val="text_vtes5"/>
    <w:basedOn w:val="10"/>
    <w:qFormat/>
    <w:uiPriority w:val="0"/>
  </w:style>
  <w:style w:type="character" w:customStyle="1" w:styleId="22">
    <w:name w:val="脚注文本 字符"/>
    <w:basedOn w:val="10"/>
    <w:link w:val="6"/>
    <w:semiHidden/>
    <w:qFormat/>
    <w:uiPriority w:val="99"/>
    <w:rPr>
      <w:rFonts w:eastAsia="仿宋" w:cstheme="minorBidi"/>
      <w:kern w:val="2"/>
      <w:sz w:val="18"/>
      <w:szCs w:val="18"/>
    </w:rPr>
  </w:style>
  <w:style w:type="character" w:customStyle="1" w:styleId="23">
    <w:name w:val="标题 2 字符"/>
    <w:basedOn w:val="10"/>
    <w:link w:val="3"/>
    <w:qFormat/>
    <w:uiPriority w:val="9"/>
    <w:rPr>
      <w:rFonts w:eastAsia="仿宋" w:asciiTheme="majorHAnsi" w:hAnsiTheme="majorHAnsi" w:cstheme="majorBidi"/>
      <w:b/>
      <w:bCs/>
      <w:kern w:val="2"/>
      <w:sz w:val="30"/>
      <w:szCs w:val="32"/>
    </w:rPr>
  </w:style>
  <w:style w:type="character" w:customStyle="1" w:styleId="24">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4A41C-64F4-48CC-BF95-779A96F38944}">
  <ds:schemaRefs/>
</ds:datastoreItem>
</file>

<file path=docProps/app.xml><?xml version="1.0" encoding="utf-8"?>
<Properties xmlns="http://schemas.openxmlformats.org/officeDocument/2006/extended-properties" xmlns:vt="http://schemas.openxmlformats.org/officeDocument/2006/docPropsVTypes">
  <Pages>9</Pages>
  <Words>3007</Words>
  <Characters>3523</Characters>
  <Lines>28</Lines>
  <Paragraphs>8</Paragraphs>
  <TotalTime>9</TotalTime>
  <ScaleCrop>false</ScaleCrop>
  <LinksUpToDate>false</LinksUpToDate>
  <CharactersWithSpaces>3610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2024-06-06T23:24:00Z</dcterms:created>
  <dc:creator>Lenovo</dc:creator>
  <cp:lastModifiedBy>WPS_1542004858</cp:lastModifiedBy>
  <cp:lastPrinted>2023-11-06T10:41:00Z</cp:lastPrinted>
  <dcterms:modified xsi:type="dcterms:W3CDTF">2025-03-25T03:20:18Z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E37930E1E2FE4BBF967FC9E2C986866F_13</vt:lpwstr>
  </property>
  <property fmtid="{D5CDD505-2E9C-101B-9397-08002B2CF9AE}" pid="4" name="KSOTemplateDocerSaveRecord">
    <vt:lpwstr>eyJoZGlkIjoiNDE5YTE5NTMxYjcwNGE3Mzc0NjExNmZiMGRlNGFhNGMiLCJ1c2VySWQiOiI0MjcxMjM0NzYifQ==</vt:lpwstr>
  </property>
</Properties>
</file>